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993" w:rsidRDefault="00261993" w:rsidP="00261993">
      <w:pPr>
        <w:tabs>
          <w:tab w:val="right" w:pos="8505"/>
        </w:tabs>
        <w:spacing w:line="276" w:lineRule="auto"/>
        <w:jc w:val="right"/>
        <w:rPr>
          <w:rFonts w:ascii="Arial" w:hAnsi="Arial" w:cs="Arial"/>
        </w:rPr>
      </w:pPr>
      <w:r>
        <w:rPr>
          <w:rFonts w:ascii="Arial" w:eastAsia="Arial" w:hAnsi="Arial" w:cs="Arial"/>
          <w:b/>
          <w:sz w:val="28"/>
          <w:szCs w:val="28"/>
        </w:rPr>
        <w:t>Laporan Penelitian</w:t>
      </w:r>
    </w:p>
    <w:p w:rsidR="00261993" w:rsidRDefault="00261993" w:rsidP="00261993">
      <w:pPr>
        <w:jc w:val="center"/>
        <w:rPr>
          <w:rFonts w:ascii="Arial" w:eastAsia="Arial" w:hAnsi="Arial" w:cs="Arial"/>
        </w:rPr>
      </w:pPr>
    </w:p>
    <w:p w:rsidR="00261993" w:rsidRDefault="00261993" w:rsidP="00261993">
      <w:pPr>
        <w:pStyle w:val="Title"/>
        <w:spacing w:line="276" w:lineRule="auto"/>
        <w:rPr>
          <w:rFonts w:ascii="Arial" w:eastAsia="Arial" w:hAnsi="Arial" w:cs="Arial"/>
        </w:rPr>
      </w:pPr>
      <w:r>
        <w:rPr>
          <w:rFonts w:ascii="Arial" w:eastAsia="Arial" w:hAnsi="Arial" w:cs="Arial"/>
        </w:rPr>
        <w:t>Pengaruh Dental Hipnosis Terhadap Tingkat Kebersihan Mulut Pada Pasien Dewasa</w:t>
      </w:r>
    </w:p>
    <w:p w:rsidR="0015224E" w:rsidRDefault="0015224E">
      <w:pPr>
        <w:pStyle w:val="Title"/>
        <w:pBdr>
          <w:top w:val="none" w:sz="0" w:space="0" w:color="000000"/>
          <w:left w:val="none" w:sz="0" w:space="0" w:color="000000"/>
          <w:bottom w:val="none" w:sz="0" w:space="0" w:color="000000"/>
          <w:right w:val="none" w:sz="0" w:space="0" w:color="000000"/>
          <w:between w:val="none" w:sz="0" w:space="0" w:color="000000"/>
        </w:pBdr>
        <w:spacing w:line="276" w:lineRule="auto"/>
        <w:jc w:val="left"/>
        <w:rPr>
          <w:rFonts w:ascii="Arial" w:eastAsia="Arial" w:hAnsi="Arial" w:cs="Arial"/>
          <w:sz w:val="32"/>
          <w:szCs w:val="32"/>
        </w:rPr>
      </w:pPr>
    </w:p>
    <w:p w:rsidR="00013C50" w:rsidRDefault="00013C50" w:rsidP="00013C50">
      <w:pPr>
        <w:spacing w:line="276" w:lineRule="auto"/>
        <w:jc w:val="center"/>
        <w:rPr>
          <w:rFonts w:ascii="Arial" w:eastAsia="Arial" w:hAnsi="Arial" w:cs="Arial"/>
          <w:b/>
        </w:rPr>
      </w:pPr>
      <w:r>
        <w:rPr>
          <w:rFonts w:ascii="Arial" w:eastAsia="Arial" w:hAnsi="Arial" w:cs="Arial"/>
          <w:b/>
        </w:rPr>
        <w:t>Riandi Verdi</w:t>
      </w:r>
      <w:r>
        <w:rPr>
          <w:rFonts w:ascii="Arial" w:eastAsia="Arial" w:hAnsi="Arial" w:cs="Arial"/>
          <w:b/>
          <w:vertAlign w:val="superscript"/>
        </w:rPr>
        <w:t>1</w:t>
      </w:r>
      <w:r w:rsidR="00261993">
        <w:rPr>
          <w:rFonts w:ascii="Arial" w:eastAsia="Arial" w:hAnsi="Arial" w:cs="Arial"/>
          <w:b/>
          <w:vertAlign w:val="superscript"/>
        </w:rPr>
        <w:t>*</w:t>
      </w:r>
      <w:r>
        <w:rPr>
          <w:rFonts w:ascii="Arial" w:eastAsia="Arial" w:hAnsi="Arial" w:cs="Arial"/>
          <w:b/>
        </w:rPr>
        <w:t>, Ervin Rizali</w:t>
      </w:r>
      <w:r>
        <w:rPr>
          <w:rFonts w:ascii="Arial" w:eastAsia="Arial" w:hAnsi="Arial" w:cs="Arial"/>
          <w:b/>
          <w:vertAlign w:val="superscript"/>
        </w:rPr>
        <w:t>2</w:t>
      </w:r>
      <w:r>
        <w:rPr>
          <w:rFonts w:ascii="Arial" w:eastAsia="Arial" w:hAnsi="Arial" w:cs="Arial"/>
          <w:b/>
        </w:rPr>
        <w:t>, Mochammad Rodian</w:t>
      </w:r>
      <w:r>
        <w:rPr>
          <w:rFonts w:ascii="Arial" w:eastAsia="Arial" w:hAnsi="Arial" w:cs="Arial"/>
          <w:b/>
          <w:vertAlign w:val="superscript"/>
        </w:rPr>
        <w:t>3</w:t>
      </w:r>
    </w:p>
    <w:p w:rsidR="00013C50" w:rsidRDefault="00013C50" w:rsidP="00013C50">
      <w:pPr>
        <w:spacing w:line="276" w:lineRule="auto"/>
        <w:jc w:val="center"/>
        <w:rPr>
          <w:rFonts w:ascii="Arial" w:eastAsia="Arial" w:hAnsi="Arial" w:cs="Arial"/>
          <w:b/>
        </w:rPr>
      </w:pPr>
    </w:p>
    <w:p w:rsidR="00013C50" w:rsidRDefault="00013C50" w:rsidP="00013C50">
      <w:pPr>
        <w:spacing w:line="276" w:lineRule="auto"/>
        <w:jc w:val="center"/>
        <w:rPr>
          <w:rFonts w:ascii="Arial" w:eastAsia="Arial" w:hAnsi="Arial" w:cs="Arial"/>
        </w:rPr>
      </w:pPr>
      <w:r>
        <w:rPr>
          <w:rFonts w:ascii="Arial" w:eastAsia="Arial" w:hAnsi="Arial" w:cs="Arial"/>
          <w:vertAlign w:val="superscript"/>
        </w:rPr>
        <w:t>1</w:t>
      </w:r>
      <w:r w:rsidR="007914D9">
        <w:rPr>
          <w:rFonts w:ascii="Arial" w:eastAsia="Arial" w:hAnsi="Arial" w:cs="Arial"/>
        </w:rPr>
        <w:t>Mahasiswa Klinik</w:t>
      </w:r>
      <w:r>
        <w:rPr>
          <w:rFonts w:ascii="Arial" w:eastAsia="Arial" w:hAnsi="Arial" w:cs="Arial"/>
        </w:rPr>
        <w:t>, Fakultas Kedokteran Gigi, Universitas Padjadjaran, Indonesia</w:t>
      </w:r>
    </w:p>
    <w:p w:rsidR="00013C50" w:rsidRDefault="00013C50" w:rsidP="00013C50">
      <w:pPr>
        <w:spacing w:line="276" w:lineRule="auto"/>
        <w:jc w:val="center"/>
        <w:rPr>
          <w:rFonts w:ascii="Arial" w:eastAsia="Arial" w:hAnsi="Arial" w:cs="Arial"/>
        </w:rPr>
      </w:pPr>
      <w:r>
        <w:rPr>
          <w:rFonts w:ascii="Arial" w:eastAsia="Arial" w:hAnsi="Arial" w:cs="Arial"/>
          <w:vertAlign w:val="superscript"/>
        </w:rPr>
        <w:t>2</w:t>
      </w:r>
      <w:r>
        <w:rPr>
          <w:rFonts w:ascii="Arial" w:eastAsia="Arial" w:hAnsi="Arial" w:cs="Arial"/>
        </w:rPr>
        <w:t>Departemen Oral Biologi, Fakultas Kedokteran Gigi, Universitas Padjadjaran, Indonesia</w:t>
      </w:r>
    </w:p>
    <w:p w:rsidR="00013C50" w:rsidRDefault="00013C50" w:rsidP="00013C50">
      <w:pPr>
        <w:spacing w:line="276" w:lineRule="auto"/>
        <w:jc w:val="center"/>
        <w:rPr>
          <w:rFonts w:ascii="Arial" w:eastAsia="Arial" w:hAnsi="Arial" w:cs="Arial"/>
        </w:rPr>
      </w:pPr>
      <w:r>
        <w:rPr>
          <w:rFonts w:ascii="Arial" w:eastAsia="Arial" w:hAnsi="Arial" w:cs="Arial"/>
          <w:vertAlign w:val="superscript"/>
        </w:rPr>
        <w:t>3</w:t>
      </w:r>
      <w:r>
        <w:rPr>
          <w:rFonts w:ascii="Arial" w:eastAsia="Arial" w:hAnsi="Arial" w:cs="Arial"/>
        </w:rPr>
        <w:t>Departemen Oral Biologi, Fakultas Kedokteran Gigi, Universitas Padjadjaran, Indonesia</w:t>
      </w:r>
    </w:p>
    <w:p w:rsidR="00013C50" w:rsidRDefault="00013C50" w:rsidP="00013C50">
      <w:pPr>
        <w:spacing w:line="276" w:lineRule="auto"/>
        <w:jc w:val="center"/>
        <w:rPr>
          <w:rFonts w:ascii="Arial" w:eastAsia="Arial" w:hAnsi="Arial" w:cs="Arial"/>
        </w:rPr>
      </w:pPr>
    </w:p>
    <w:p w:rsidR="0015224E" w:rsidRDefault="0083302C">
      <w:pPr>
        <w:spacing w:line="276" w:lineRule="auto"/>
        <w:jc w:val="center"/>
        <w:rPr>
          <w:rFonts w:ascii="Arial" w:eastAsia="Arial" w:hAnsi="Arial" w:cs="Arial"/>
        </w:rPr>
      </w:pPr>
      <w:r>
        <w:rPr>
          <w:rFonts w:ascii="Arial" w:eastAsia="Arial" w:hAnsi="Arial" w:cs="Arial"/>
        </w:rPr>
        <w:t xml:space="preserve">*korespondensi: </w:t>
      </w:r>
      <w:proofErr w:type="gramStart"/>
      <w:r>
        <w:rPr>
          <w:rFonts w:ascii="Arial" w:eastAsia="Arial" w:hAnsi="Arial" w:cs="Arial"/>
        </w:rPr>
        <w:t>e-mail:</w:t>
      </w:r>
      <w:r w:rsidR="008A28D9">
        <w:rPr>
          <w:rFonts w:ascii="Arial" w:eastAsia="Arial" w:hAnsi="Arial" w:cs="Arial"/>
          <w:color w:val="0000FF"/>
          <w:u w:val="single"/>
        </w:rPr>
        <w:t>verdiriandi@gmail.com</w:t>
      </w:r>
      <w:proofErr w:type="gramEnd"/>
    </w:p>
    <w:p w:rsidR="0015224E" w:rsidRDefault="0083302C" w:rsidP="00013C5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rPr>
      </w:pPr>
      <w:r>
        <w:rPr>
          <w:rFonts w:ascii="Arial" w:eastAsia="Arial" w:hAnsi="Arial" w:cs="Arial"/>
        </w:rPr>
        <w:t xml:space="preserve"> </w:t>
      </w:r>
    </w:p>
    <w:p w:rsidR="0015224E" w:rsidRDefault="0015224E">
      <w:pPr>
        <w:rPr>
          <w:rFonts w:ascii="Arial" w:eastAsia="Arial" w:hAnsi="Arial" w:cs="Arial"/>
          <w:b/>
        </w:rPr>
      </w:pPr>
    </w:p>
    <w:p w:rsidR="0015224E" w:rsidRDefault="0083302C">
      <w:pPr>
        <w:rPr>
          <w:rFonts w:ascii="Arial" w:eastAsia="Arial" w:hAnsi="Arial" w:cs="Arial"/>
          <w:b/>
        </w:rPr>
      </w:pPr>
      <w:r>
        <w:rPr>
          <w:rFonts w:ascii="Arial" w:eastAsia="Arial" w:hAnsi="Arial" w:cs="Arial"/>
          <w:b/>
        </w:rPr>
        <w:t xml:space="preserve">ABSTRAK </w:t>
      </w:r>
    </w:p>
    <w:p w:rsidR="0015224E" w:rsidRDefault="0015224E">
      <w:pPr>
        <w:jc w:val="both"/>
        <w:rPr>
          <w:rFonts w:ascii="Arial" w:eastAsia="Arial" w:hAnsi="Arial" w:cs="Arial"/>
          <w:sz w:val="16"/>
          <w:szCs w:val="16"/>
        </w:rPr>
      </w:pPr>
    </w:p>
    <w:p w:rsidR="00013C50" w:rsidRPr="00013C50" w:rsidRDefault="00013C50" w:rsidP="00013C50">
      <w:pPr>
        <w:pStyle w:val="Abstrak"/>
        <w:spacing w:line="240" w:lineRule="auto"/>
        <w:ind w:firstLine="0"/>
        <w:rPr>
          <w:rFonts w:ascii="Arial" w:hAnsi="Arial" w:cs="Arial"/>
          <w:sz w:val="20"/>
          <w:szCs w:val="20"/>
        </w:rPr>
      </w:pPr>
      <w:r w:rsidRPr="00013C50">
        <w:rPr>
          <w:rFonts w:ascii="Arial" w:hAnsi="Arial" w:cs="Arial"/>
          <w:sz w:val="20"/>
          <w:szCs w:val="20"/>
        </w:rPr>
        <w:t>Kebersihan mulut adalah segala tindak</w:t>
      </w:r>
      <w:r w:rsidR="008A28D9">
        <w:rPr>
          <w:rFonts w:ascii="Arial" w:hAnsi="Arial" w:cs="Arial"/>
          <w:sz w:val="20"/>
          <w:szCs w:val="20"/>
        </w:rPr>
        <w:t xml:space="preserve">an yang dilakukan oleh </w:t>
      </w:r>
      <w:r w:rsidR="00261993">
        <w:rPr>
          <w:rFonts w:ascii="Arial" w:hAnsi="Arial" w:cs="Arial"/>
          <w:sz w:val="20"/>
          <w:szCs w:val="20"/>
        </w:rPr>
        <w:t>seseorang</w:t>
      </w:r>
      <w:r w:rsidRPr="00013C50">
        <w:rPr>
          <w:rFonts w:ascii="Arial" w:hAnsi="Arial" w:cs="Arial"/>
          <w:sz w:val="20"/>
          <w:szCs w:val="20"/>
        </w:rPr>
        <w:t xml:space="preserve"> untuk meminimalisasi penyakit gigi dan mulut, serta meningkatkan</w:t>
      </w:r>
      <w:r w:rsidR="008A28D9">
        <w:rPr>
          <w:rFonts w:ascii="Arial" w:hAnsi="Arial" w:cs="Arial"/>
          <w:sz w:val="20"/>
          <w:szCs w:val="20"/>
        </w:rPr>
        <w:t xml:space="preserve"> tingkat</w:t>
      </w:r>
      <w:r w:rsidRPr="00013C50">
        <w:rPr>
          <w:rFonts w:ascii="Arial" w:hAnsi="Arial" w:cs="Arial"/>
          <w:sz w:val="20"/>
          <w:szCs w:val="20"/>
        </w:rPr>
        <w:t xml:space="preserve"> kebersihan rongga mulut agar manusia dapat beraktivitas dengan baik. Saat ini telah banyak cara yang dapat dilakukan oleh dokter gigi untuk menjaga kebersihan mulut pada pasien dewasa, salah satunya melalui dental hipnosis. Dental hipnosis adalah ilmu terapan yang diharapkan dapat berperan untuk membantu atau memotivasi seseorang dalam menjaga kebersihan mulut pada pasien dewasa. Tujuan penelitian yaitu untuk mengetahui pengaruh dental hipnosis terhadap tingkat kebersihan mulut pada pasien dewasa.</w:t>
      </w:r>
      <w:r>
        <w:rPr>
          <w:rFonts w:ascii="Arial" w:hAnsi="Arial" w:cs="Arial"/>
          <w:sz w:val="20"/>
          <w:szCs w:val="20"/>
        </w:rPr>
        <w:t xml:space="preserve"> </w:t>
      </w:r>
      <w:r w:rsidRPr="00013C50">
        <w:rPr>
          <w:rFonts w:ascii="Arial" w:hAnsi="Arial" w:cs="Arial"/>
          <w:sz w:val="20"/>
          <w:szCs w:val="20"/>
        </w:rPr>
        <w:t xml:space="preserve">Peneliti menggunakan metode eksperimental semu dengan 30 sampel pada orang dewasa berusia 18-25 tahun. Metode penelitian ini menggunakan pendekatan </w:t>
      </w:r>
      <w:r w:rsidRPr="00013C50">
        <w:rPr>
          <w:rFonts w:ascii="Arial" w:hAnsi="Arial" w:cs="Arial"/>
          <w:i/>
          <w:sz w:val="20"/>
          <w:szCs w:val="20"/>
        </w:rPr>
        <w:t>pretest-posttest design</w:t>
      </w:r>
      <w:r w:rsidRPr="00013C50">
        <w:rPr>
          <w:rFonts w:ascii="Arial" w:hAnsi="Arial" w:cs="Arial"/>
          <w:sz w:val="20"/>
          <w:szCs w:val="20"/>
        </w:rPr>
        <w:t xml:space="preserve"> dimana pasien akan diukur tingkat kebersihan mulutnya saat sebelum dan sesudah menerima perawatan dental hipnosis. Kebersihan mulut pasien diukur dengan menggunakan indeks OHI-S. Data yang dihasilkan merupakan data statistik yang diuji menurut uji normal, uji perbandingan dan uji wilcoxon.</w:t>
      </w:r>
      <w:r>
        <w:rPr>
          <w:rFonts w:ascii="Arial" w:hAnsi="Arial" w:cs="Arial"/>
          <w:sz w:val="20"/>
          <w:szCs w:val="20"/>
        </w:rPr>
        <w:t xml:space="preserve"> </w:t>
      </w:r>
      <w:r w:rsidRPr="00013C50">
        <w:rPr>
          <w:rFonts w:ascii="Arial" w:hAnsi="Arial" w:cs="Arial"/>
          <w:sz w:val="20"/>
          <w:szCs w:val="20"/>
        </w:rPr>
        <w:t xml:space="preserve">Hasil penelitian ini menunjukkan pada uji perbandingan didapat penurunan indeks OHI-S rata-rata pada pasien saat sebelum dan sesudah perawatan dental hipnosis dari 3,29 menjadi 0,82. Nilai </w:t>
      </w:r>
      <w:r w:rsidRPr="00013C50">
        <w:rPr>
          <w:rFonts w:ascii="Arial" w:hAnsi="Arial" w:cs="Arial"/>
          <w:i/>
          <w:sz w:val="20"/>
          <w:szCs w:val="20"/>
        </w:rPr>
        <w:t>p-value</w:t>
      </w:r>
      <w:r w:rsidRPr="00013C50">
        <w:rPr>
          <w:rFonts w:ascii="Arial" w:hAnsi="Arial" w:cs="Arial"/>
          <w:sz w:val="20"/>
          <w:szCs w:val="20"/>
        </w:rPr>
        <w:t xml:space="preserve"> pada uji wilcoxon berada di &lt;0,0</w:t>
      </w:r>
      <w:bookmarkStart w:id="0" w:name="_GoBack"/>
      <w:bookmarkEnd w:id="0"/>
      <w:r w:rsidRPr="00013C50">
        <w:rPr>
          <w:rFonts w:ascii="Arial" w:hAnsi="Arial" w:cs="Arial"/>
          <w:sz w:val="20"/>
          <w:szCs w:val="20"/>
        </w:rPr>
        <w:t>5 yang menyatakan bahwa dental hipnosis berpengaruh terhadap kebersihan mulut pasien dewasa di klinik swasta Kota Tangerang yang melaksanakan perawatan dental hipnosis.</w:t>
      </w:r>
      <w:r>
        <w:rPr>
          <w:rFonts w:ascii="Arial" w:hAnsi="Arial" w:cs="Arial"/>
          <w:sz w:val="20"/>
          <w:szCs w:val="20"/>
        </w:rPr>
        <w:t xml:space="preserve"> </w:t>
      </w:r>
      <w:r w:rsidRPr="00013C50">
        <w:rPr>
          <w:rFonts w:ascii="Arial" w:hAnsi="Arial" w:cs="Arial"/>
          <w:sz w:val="20"/>
          <w:szCs w:val="20"/>
        </w:rPr>
        <w:t>Simpulan dari penelitian ini adalah dental hipnosis memiliki pengaruh terhadap tingkat kebersihan mulut pada pasien dewasa.</w:t>
      </w:r>
    </w:p>
    <w:p w:rsidR="0015224E" w:rsidRDefault="0015224E">
      <w:pPr>
        <w:jc w:val="both"/>
        <w:rPr>
          <w:rFonts w:ascii="Arial" w:eastAsia="Arial" w:hAnsi="Arial" w:cs="Arial"/>
        </w:rPr>
      </w:pPr>
    </w:p>
    <w:p w:rsidR="0015224E" w:rsidRDefault="0083302C">
      <w:pPr>
        <w:jc w:val="both"/>
        <w:rPr>
          <w:rFonts w:ascii="Arial" w:eastAsia="Arial" w:hAnsi="Arial" w:cs="Arial"/>
        </w:rPr>
      </w:pPr>
      <w:r>
        <w:rPr>
          <w:rFonts w:ascii="Arial" w:eastAsia="Arial" w:hAnsi="Arial" w:cs="Arial"/>
          <w:b/>
        </w:rPr>
        <w:t>Kata kunci:</w:t>
      </w:r>
      <w:r>
        <w:rPr>
          <w:rFonts w:ascii="Arial" w:eastAsia="Arial" w:hAnsi="Arial" w:cs="Arial"/>
        </w:rPr>
        <w:t xml:space="preserve"> </w:t>
      </w:r>
      <w:r w:rsidR="00013C50">
        <w:rPr>
          <w:rFonts w:ascii="Arial" w:eastAsia="Arial" w:hAnsi="Arial" w:cs="Arial"/>
        </w:rPr>
        <w:t>dental hipnosis, kebersihan mulut</w:t>
      </w:r>
    </w:p>
    <w:p w:rsidR="0015224E" w:rsidRDefault="0015224E">
      <w:pPr>
        <w:jc w:val="both"/>
        <w:rPr>
          <w:rFonts w:ascii="Arial" w:eastAsia="Arial" w:hAnsi="Arial" w:cs="Arial"/>
          <w:b/>
          <w:sz w:val="16"/>
          <w:szCs w:val="16"/>
        </w:rPr>
      </w:pPr>
    </w:p>
    <w:p w:rsidR="0015224E" w:rsidRDefault="0083302C">
      <w:pPr>
        <w:jc w:val="both"/>
        <w:rPr>
          <w:rFonts w:ascii="Arial" w:eastAsia="Arial" w:hAnsi="Arial" w:cs="Arial"/>
          <w:b/>
          <w:i/>
        </w:rPr>
      </w:pPr>
      <w:r>
        <w:rPr>
          <w:rFonts w:ascii="Arial" w:eastAsia="Arial" w:hAnsi="Arial" w:cs="Arial"/>
          <w:b/>
          <w:i/>
        </w:rPr>
        <w:t>ABSTRACT</w:t>
      </w:r>
    </w:p>
    <w:p w:rsidR="0015224E" w:rsidRDefault="0015224E" w:rsidP="00013C50">
      <w:pPr>
        <w:jc w:val="both"/>
        <w:rPr>
          <w:rFonts w:ascii="Arial" w:eastAsia="Arial" w:hAnsi="Arial" w:cs="Arial"/>
          <w:b/>
          <w:i/>
        </w:rPr>
      </w:pPr>
    </w:p>
    <w:p w:rsidR="00013C50" w:rsidRPr="00013C50" w:rsidRDefault="00013C50" w:rsidP="00013C50">
      <w:pPr>
        <w:pStyle w:val="Abstrak"/>
        <w:spacing w:line="240" w:lineRule="auto"/>
        <w:ind w:firstLine="0"/>
        <w:rPr>
          <w:rFonts w:ascii="Arial" w:hAnsi="Arial" w:cs="Arial"/>
          <w:i/>
          <w:sz w:val="20"/>
          <w:szCs w:val="20"/>
          <w:lang w:val="en"/>
        </w:rPr>
      </w:pPr>
      <w:r w:rsidRPr="00013C50">
        <w:rPr>
          <w:rFonts w:ascii="Arial" w:hAnsi="Arial" w:cs="Arial"/>
          <w:i/>
          <w:sz w:val="20"/>
          <w:szCs w:val="20"/>
          <w:lang w:val="en"/>
        </w:rPr>
        <w:t xml:space="preserve">Oral hygiene </w:t>
      </w:r>
      <w:r w:rsidR="008A28D9">
        <w:rPr>
          <w:rFonts w:ascii="Arial" w:hAnsi="Arial" w:cs="Arial"/>
          <w:i/>
          <w:sz w:val="20"/>
          <w:szCs w:val="20"/>
          <w:lang w:val="en"/>
        </w:rPr>
        <w:t xml:space="preserve">is all actions taken by </w:t>
      </w:r>
      <w:r w:rsidR="00261993">
        <w:rPr>
          <w:rFonts w:ascii="Arial" w:hAnsi="Arial" w:cs="Arial"/>
          <w:i/>
          <w:sz w:val="20"/>
          <w:szCs w:val="20"/>
          <w:lang w:val="en"/>
        </w:rPr>
        <w:t>a person</w:t>
      </w:r>
      <w:r w:rsidRPr="00013C50">
        <w:rPr>
          <w:rFonts w:ascii="Arial" w:hAnsi="Arial" w:cs="Arial"/>
          <w:i/>
          <w:sz w:val="20"/>
          <w:szCs w:val="20"/>
          <w:lang w:val="en"/>
        </w:rPr>
        <w:t xml:space="preserve"> to minimize dental and oral diseases, and improve the cleanliness</w:t>
      </w:r>
      <w:r w:rsidR="008A28D9">
        <w:rPr>
          <w:rFonts w:ascii="Arial" w:hAnsi="Arial" w:cs="Arial"/>
          <w:i/>
          <w:sz w:val="20"/>
          <w:szCs w:val="20"/>
          <w:lang w:val="en"/>
        </w:rPr>
        <w:t xml:space="preserve"> level</w:t>
      </w:r>
      <w:r w:rsidRPr="00013C50">
        <w:rPr>
          <w:rFonts w:ascii="Arial" w:hAnsi="Arial" w:cs="Arial"/>
          <w:i/>
          <w:sz w:val="20"/>
          <w:szCs w:val="20"/>
          <w:lang w:val="en"/>
        </w:rPr>
        <w:t xml:space="preserve"> of the mouth, so that human can move well. Currently there are many ways that can be done by the dentist to maintain oral hygiene in adult patients, one of them through dental hypnosis.</w:t>
      </w:r>
      <w:r w:rsidRPr="00013C50">
        <w:rPr>
          <w:rFonts w:ascii="Arial" w:hAnsi="Arial" w:cs="Arial"/>
          <w:sz w:val="20"/>
          <w:szCs w:val="20"/>
          <w:lang w:val="en"/>
        </w:rPr>
        <w:t xml:space="preserve"> </w:t>
      </w:r>
      <w:r w:rsidRPr="00013C50">
        <w:rPr>
          <w:rFonts w:ascii="Arial" w:hAnsi="Arial" w:cs="Arial"/>
          <w:i/>
          <w:sz w:val="20"/>
          <w:szCs w:val="20"/>
          <w:lang w:val="en"/>
        </w:rPr>
        <w:t>Dental hypnosis is an applicative method that is expected to play a role to help or motivate someone in maintaining oral hygiene in adult patients. The purpose of this study was to determine the effect of dental hypnosis on the level of oral hygiene in adult patients.</w:t>
      </w:r>
      <w:r>
        <w:rPr>
          <w:rFonts w:ascii="Arial" w:hAnsi="Arial" w:cs="Arial"/>
          <w:i/>
          <w:sz w:val="20"/>
          <w:szCs w:val="20"/>
          <w:lang w:val="en"/>
        </w:rPr>
        <w:t xml:space="preserve"> </w:t>
      </w:r>
      <w:r w:rsidRPr="00013C50">
        <w:rPr>
          <w:rFonts w:ascii="Arial" w:hAnsi="Arial" w:cs="Arial"/>
          <w:i/>
          <w:sz w:val="20"/>
          <w:szCs w:val="20"/>
          <w:lang w:val="en"/>
        </w:rPr>
        <w:t>Researcher used semi experiment methods with 30 respondents in adults aged 18-25 years. This research method uses pretest-posttest design approach where patients will be measured the level of oral hygiene before and after receiving dental hypnosis treatment. The resulting data is statistical data and will be</w:t>
      </w:r>
      <w:r w:rsidRPr="00013C50">
        <w:rPr>
          <w:rFonts w:ascii="Arial" w:hAnsi="Arial" w:cs="Arial"/>
          <w:sz w:val="20"/>
          <w:szCs w:val="20"/>
          <w:lang w:val="en"/>
        </w:rPr>
        <w:t xml:space="preserve"> </w:t>
      </w:r>
      <w:r w:rsidRPr="00013C50">
        <w:rPr>
          <w:rFonts w:ascii="Arial" w:hAnsi="Arial" w:cs="Arial"/>
          <w:i/>
          <w:sz w:val="20"/>
          <w:szCs w:val="20"/>
          <w:lang w:val="en"/>
        </w:rPr>
        <w:t>tested with normal distribution test, comparison test and wilcoxon test.</w:t>
      </w:r>
      <w:r>
        <w:rPr>
          <w:rFonts w:ascii="Arial" w:hAnsi="Arial" w:cs="Arial"/>
          <w:i/>
          <w:sz w:val="20"/>
          <w:szCs w:val="20"/>
          <w:lang w:val="en"/>
        </w:rPr>
        <w:t xml:space="preserve"> </w:t>
      </w:r>
      <w:r w:rsidRPr="00013C50">
        <w:rPr>
          <w:rFonts w:ascii="Arial" w:hAnsi="Arial" w:cs="Arial"/>
          <w:i/>
          <w:sz w:val="20"/>
          <w:szCs w:val="20"/>
          <w:lang w:val="en"/>
        </w:rPr>
        <w:t>The results of this study indicate that the comparison test obtained decreased average of OHI-S index in patients before and after treatment of dental hypnosis from 3.29 to 0.82. The p-value value of the wilcoxon test was &lt;0.05, which suggested that dental hypnosis had an effect on the oral hygiene of adult patients at the Tangerang City private clinic performing dental hypnosis treatments.</w:t>
      </w:r>
      <w:r>
        <w:rPr>
          <w:rFonts w:ascii="Arial" w:hAnsi="Arial" w:cs="Arial"/>
          <w:i/>
          <w:sz w:val="20"/>
          <w:szCs w:val="20"/>
          <w:lang w:val="en"/>
        </w:rPr>
        <w:t xml:space="preserve"> </w:t>
      </w:r>
      <w:r w:rsidRPr="00013C50">
        <w:rPr>
          <w:rFonts w:ascii="Arial" w:hAnsi="Arial" w:cs="Arial"/>
          <w:i/>
          <w:sz w:val="20"/>
          <w:szCs w:val="20"/>
          <w:lang w:val="en"/>
        </w:rPr>
        <w:t>The conclusion of this research is dental hypnosis has an effect on the level of oral hygiene in adult patients.</w:t>
      </w:r>
    </w:p>
    <w:p w:rsidR="0015224E" w:rsidRDefault="0015224E">
      <w:pPr>
        <w:jc w:val="both"/>
        <w:rPr>
          <w:rFonts w:ascii="Arial" w:eastAsia="Arial" w:hAnsi="Arial" w:cs="Arial"/>
          <w:i/>
        </w:rPr>
      </w:pPr>
    </w:p>
    <w:p w:rsidR="00013C50" w:rsidRPr="00013C50" w:rsidRDefault="00013C50" w:rsidP="00013C50">
      <w:pPr>
        <w:rPr>
          <w:rFonts w:ascii="Arial" w:eastAsia="Arial" w:hAnsi="Arial" w:cs="Arial"/>
          <w:i/>
        </w:rPr>
      </w:pPr>
      <w:bookmarkStart w:id="1" w:name="_gjdgxs" w:colFirst="0" w:colLast="0"/>
      <w:bookmarkEnd w:id="1"/>
      <w:r>
        <w:rPr>
          <w:rFonts w:ascii="Arial" w:eastAsia="Arial" w:hAnsi="Arial" w:cs="Arial"/>
          <w:i/>
        </w:rPr>
        <w:t>Keywords: dental hypnosis, oral hygiene</w:t>
      </w:r>
    </w:p>
    <w:p w:rsidR="0026285B" w:rsidRDefault="0026285B">
      <w:pPr>
        <w:spacing w:line="360" w:lineRule="auto"/>
        <w:rPr>
          <w:rFonts w:ascii="Arial" w:eastAsia="Arial" w:hAnsi="Arial" w:cs="Arial"/>
          <w:b/>
          <w:sz w:val="22"/>
          <w:szCs w:val="22"/>
        </w:rPr>
      </w:pPr>
    </w:p>
    <w:p w:rsidR="003104E2" w:rsidRDefault="003104E2">
      <w:pPr>
        <w:spacing w:line="360" w:lineRule="auto"/>
        <w:rPr>
          <w:rFonts w:ascii="Arial" w:eastAsia="Arial" w:hAnsi="Arial" w:cs="Arial"/>
          <w:b/>
          <w:sz w:val="22"/>
          <w:szCs w:val="22"/>
        </w:rPr>
        <w:sectPr w:rsidR="003104E2">
          <w:headerReference w:type="even" r:id="rId8"/>
          <w:footerReference w:type="even" r:id="rId9"/>
          <w:footerReference w:type="default" r:id="rId10"/>
          <w:pgSz w:w="11907" w:h="16840"/>
          <w:pgMar w:top="1440" w:right="1440" w:bottom="1440" w:left="1440" w:header="0" w:footer="720" w:gutter="0"/>
          <w:pgNumType w:start="1"/>
          <w:cols w:space="720"/>
        </w:sectPr>
      </w:pPr>
    </w:p>
    <w:p w:rsidR="0015224E" w:rsidRDefault="0083302C">
      <w:pPr>
        <w:spacing w:line="360" w:lineRule="auto"/>
        <w:rPr>
          <w:rFonts w:ascii="Arial" w:eastAsia="Arial" w:hAnsi="Arial" w:cs="Arial"/>
          <w:b/>
          <w:sz w:val="22"/>
          <w:szCs w:val="22"/>
        </w:rPr>
      </w:pPr>
      <w:r>
        <w:rPr>
          <w:rFonts w:ascii="Arial" w:eastAsia="Arial" w:hAnsi="Arial" w:cs="Arial"/>
          <w:b/>
          <w:sz w:val="22"/>
          <w:szCs w:val="22"/>
        </w:rPr>
        <w:t xml:space="preserve">PENDAHULUAN </w:t>
      </w:r>
    </w:p>
    <w:p w:rsidR="00013C50" w:rsidRPr="00044E37"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Kesehatan gigi dan mulut masyarakat Indonesia masih menjadi hal yang perlu mendapat perhatian yang serius dari tenaga kesehatan, baik dokter maupun perawat gigi</w:t>
      </w:r>
      <w:r w:rsidR="008A28D9">
        <w:rPr>
          <w:rFonts w:ascii="Arial" w:hAnsi="Arial" w:cs="Arial"/>
          <w:sz w:val="22"/>
          <w:szCs w:val="22"/>
        </w:rPr>
        <w:t xml:space="preserve"> yang ada di Indonesia. Hal ini disebabkan oleh karena </w:t>
      </w:r>
      <w:r w:rsidRPr="00044E37">
        <w:rPr>
          <w:rFonts w:ascii="Arial" w:hAnsi="Arial" w:cs="Arial"/>
          <w:sz w:val="22"/>
          <w:szCs w:val="22"/>
        </w:rPr>
        <w:t xml:space="preserve">prevalensi nasional masalah gigi dan mulut mencapai 25,9% </w:t>
      </w:r>
      <w:r w:rsidRPr="00044E37">
        <w:rPr>
          <w:rStyle w:val="FootnoteReference"/>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{"citationItems":[{"id":"ITEM-1","itemData":{"author":[{"dropping-particle":"","family":"Kementerian Kesehatan Republik Indonesia","given":"","non-dropping-particle":"","parse-names":false,"suffix":""}],"id":"ITEM-1","issued":{"date-parts":[["2014"]]},"publisher":"Kementerian Kesehatan Republik Indonesia","publisher-place":"Jakarta","title":"Riskesdas. Pokok-Pokok Hasil Riskesdas Indonesia Tahun 2013","type":"book"},"uris":["http://www.mendeley.com/documents/?uuid=c1fcbf03-a054-47c8-acca-389d3f181085"]}],"mendeley":{"formattedCitation":"(1)","plainTextFormattedCitation":"(1)","previouslyFormattedCitation":"(1)"},"properties":{"noteIndex":0},"schema":"https://github.com/citation-style-language/schema/raw/master/csl-citation.json"}</w:instrText>
      </w:r>
      <w:r w:rsidRPr="00044E37">
        <w:rPr>
          <w:rStyle w:val="FootnoteReference"/>
          <w:rFonts w:ascii="Arial" w:hAnsi="Arial" w:cs="Arial"/>
          <w:sz w:val="22"/>
          <w:szCs w:val="22"/>
        </w:rPr>
        <w:fldChar w:fldCharType="separate"/>
      </w:r>
      <w:r w:rsidRPr="00044E37">
        <w:rPr>
          <w:rFonts w:ascii="Arial" w:hAnsi="Arial" w:cs="Arial"/>
          <w:noProof/>
          <w:sz w:val="22"/>
          <w:szCs w:val="22"/>
        </w:rPr>
        <w:t>(1)</w:t>
      </w:r>
      <w:r w:rsidRPr="00044E37">
        <w:rPr>
          <w:rStyle w:val="FootnoteReference"/>
          <w:rFonts w:ascii="Arial" w:hAnsi="Arial" w:cs="Arial"/>
          <w:sz w:val="22"/>
          <w:szCs w:val="22"/>
        </w:rPr>
        <w:fldChar w:fldCharType="end"/>
      </w:r>
      <w:r w:rsidRPr="00044E37">
        <w:rPr>
          <w:rFonts w:ascii="Arial" w:hAnsi="Arial" w:cs="Arial"/>
          <w:sz w:val="22"/>
          <w:szCs w:val="22"/>
        </w:rPr>
        <w:t xml:space="preserve">. Penyakit gigi dan mulut tersebut disebabkan`oleh karena adanya penumpukan plak dan kalkulus akibat rendahnya tingkat kebersihan mulut masyarakat Indonesia </w:t>
      </w:r>
      <w:r w:rsidRPr="00044E37">
        <w:rPr>
          <w:rStyle w:val="FootnoteReference"/>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{"citationItems":[{"id":"ITEM-1","itemData":{"author":[{"dropping-particle":"","family":"S.","given":"Anitasari","non-dropping-particle":"","parse-names":false,"suffix":""},{"dropping-particle":"","family":"Rahayu N. E.","given":"","non-dropping-particle":"","parse-names":false,"suffix":""}],"container-title":"Dental Journal","id":"ITEM-1","issue":"2","issued":{"date-parts":[["2005"]]},"page":"88-90","title":"Hubungan Frekuensi Menyikat Gigi dengan Tingkat Kebersihan Gigi dan Mulut Siswa Sekolah Dasar Negeri di Kecamatan Palaran Kotamadya Samarinda Provinsi Kalimantan Timur","type":"article-journal","volume":"38"},"uris":["http://www.mendeley.com/documents/?uuid=296c9a86-fd1d-4bc7-80af-165e2942da93"]}],"mendeley":{"formattedCitation":"(2)","plainTextFormattedCitation":"(2)","previouslyFormattedCitation":"(2)"},"properties":{"noteIndex":0},"schema":"https://github.com/citation-style-language/schema/raw/master/csl-citation.json"}</w:instrText>
      </w:r>
      <w:r w:rsidRPr="00044E37">
        <w:rPr>
          <w:rStyle w:val="FootnoteReference"/>
          <w:rFonts w:ascii="Arial" w:hAnsi="Arial" w:cs="Arial"/>
          <w:sz w:val="22"/>
          <w:szCs w:val="22"/>
        </w:rPr>
        <w:fldChar w:fldCharType="separate"/>
      </w:r>
      <w:r w:rsidRPr="00044E37">
        <w:rPr>
          <w:rFonts w:ascii="Arial" w:hAnsi="Arial" w:cs="Arial"/>
          <w:bCs/>
          <w:noProof/>
          <w:sz w:val="22"/>
          <w:szCs w:val="22"/>
        </w:rPr>
        <w:t>(2)</w:t>
      </w:r>
      <w:r w:rsidRPr="00044E37">
        <w:rPr>
          <w:rStyle w:val="FootnoteReference"/>
          <w:rFonts w:ascii="Arial" w:hAnsi="Arial" w:cs="Arial"/>
          <w:sz w:val="22"/>
          <w:szCs w:val="22"/>
        </w:rPr>
        <w:fldChar w:fldCharType="end"/>
      </w:r>
      <w:r w:rsidRPr="00044E37">
        <w:rPr>
          <w:rFonts w:ascii="Arial" w:hAnsi="Arial" w:cs="Arial"/>
          <w:sz w:val="22"/>
          <w:szCs w:val="22"/>
        </w:rPr>
        <w:t xml:space="preserve">. Menurut Dalimunthe </w:t>
      </w:r>
      <w:r w:rsidRPr="00044E37">
        <w:rPr>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{"citationItems":[{"id":"ITEM-1","itemData":{"author":[{"dropping-particle":"","family":"Sintawati","given":"F. X.","non-dropping-particle":"","parse-names":false,"suffix":""},{"dropping-particle":"","family":"N.","given":"Tjahja","non-dropping-particle":"","parse-names":false,"suffix":""}],"container-title":"Jurnal Ekologi Kesehatan","id":"ITEM-1","issue":"1","issued":{"date-parts":[["2008"]]},"page":"860-873","title":"Faktor-Faktor yang Mempengaruhi Kebersihan Gigi dan Mulut Masyaraka DKI Jakarta Tahun 2007","type":"article-journal","volume":"8"},"uris":["http://www.mendeley.com/documents/?uuid=9ac8f464-1190-47ed-8fbb-62c8cb096fc6"]}],"mendeley":{"formattedCitation":"(3)","plainTextFormattedCitation":"(3)","previouslyFormattedCitation":"(3)"},"properties":{"noteIndex":0},"schema":"https://github.com/citation-style-language/schema/raw/master/csl-citation.json"}</w:instrText>
      </w:r>
      <w:r w:rsidRPr="00044E37">
        <w:rPr>
          <w:rFonts w:ascii="Arial" w:hAnsi="Arial" w:cs="Arial"/>
          <w:sz w:val="22"/>
          <w:szCs w:val="22"/>
        </w:rPr>
        <w:fldChar w:fldCharType="separate"/>
      </w:r>
      <w:r w:rsidRPr="00044E37">
        <w:rPr>
          <w:rFonts w:ascii="Arial" w:hAnsi="Arial" w:cs="Arial"/>
          <w:noProof/>
          <w:sz w:val="22"/>
          <w:szCs w:val="22"/>
        </w:rPr>
        <w:t>(3)</w:t>
      </w:r>
      <w:r w:rsidRPr="00044E37">
        <w:rPr>
          <w:rFonts w:ascii="Arial" w:hAnsi="Arial" w:cs="Arial"/>
          <w:sz w:val="22"/>
          <w:szCs w:val="22"/>
        </w:rPr>
        <w:fldChar w:fldCharType="end"/>
      </w:r>
      <w:r w:rsidRPr="00044E37">
        <w:rPr>
          <w:rFonts w:ascii="Arial" w:hAnsi="Arial" w:cs="Arial"/>
          <w:sz w:val="22"/>
          <w:szCs w:val="22"/>
        </w:rPr>
        <w:t>,  kebersihan mulut yang rendah ditemukan pada 46,2% masyarakat Indonesia, dimana pada masyarakat di daerah pedesaan ditemukan sebanyak 48,9% masyarakat yang memiliki kebersihan mulut yang buruk, dan di daerah perkotaan sebesar 42,5% masyarakat yang memiliki kebersihan mulut yang buruk.</w:t>
      </w:r>
    </w:p>
    <w:p w:rsidR="00013C50" w:rsidRPr="00044E37"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 xml:space="preserve">Kebersihan mulut </w:t>
      </w:r>
      <w:r w:rsidRPr="00044E37">
        <w:rPr>
          <w:rStyle w:val="FootnoteReference"/>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{"citationItems":[{"id":"ITEM-1","itemData":{"author":[{"dropping-particle":"","family":"Bunting","given":"Russel W.","non-dropping-particle":"","parse-names":false,"suffix":""}],"id":"ITEM-1","issued":{"date-parts":[["1960"]]},"publisher":"Lea &amp; Febiger","publisher-place":"Philadelphia","title":"Oral Hygiene","type":"book"},"uris":["http://www.mendeley.com/documents/?uuid=6ea897ad-2c8d-4660-83e8-360ae1ed69b9"]}],"mendeley":{"formattedCitation":"(4)","plainTextFormattedCitation":"(4)","previouslyFormattedCitation":"(4)"},"properties":{"noteIndex":0},"schema":"https://github.com/citation-style-language/schema/raw/master/csl-citation.json"}</w:instrText>
      </w:r>
      <w:r w:rsidRPr="00044E37">
        <w:rPr>
          <w:rStyle w:val="FootnoteReference"/>
          <w:rFonts w:ascii="Arial" w:hAnsi="Arial" w:cs="Arial"/>
          <w:sz w:val="22"/>
          <w:szCs w:val="22"/>
        </w:rPr>
        <w:fldChar w:fldCharType="separate"/>
      </w:r>
      <w:r w:rsidRPr="00044E37">
        <w:rPr>
          <w:rFonts w:ascii="Arial" w:hAnsi="Arial" w:cs="Arial"/>
          <w:noProof/>
          <w:sz w:val="22"/>
          <w:szCs w:val="22"/>
        </w:rPr>
        <w:t>(4)</w:t>
      </w:r>
      <w:r w:rsidRPr="00044E37">
        <w:rPr>
          <w:rStyle w:val="FootnoteReference"/>
          <w:rFonts w:ascii="Arial" w:hAnsi="Arial" w:cs="Arial"/>
          <w:sz w:val="22"/>
          <w:szCs w:val="22"/>
        </w:rPr>
        <w:fldChar w:fldCharType="end"/>
      </w:r>
      <w:r w:rsidRPr="00044E37">
        <w:rPr>
          <w:rFonts w:ascii="Arial" w:hAnsi="Arial" w:cs="Arial"/>
          <w:sz w:val="22"/>
          <w:szCs w:val="22"/>
        </w:rPr>
        <w:t xml:space="preserve"> adalah segala tindakan yang dilakukan oleh seseorang untuk meminimalisir penyakit gigi dan mulut, serta meningkatkan </w:t>
      </w:r>
      <w:r w:rsidR="008A28D9">
        <w:rPr>
          <w:rFonts w:ascii="Arial" w:hAnsi="Arial" w:cs="Arial"/>
          <w:sz w:val="22"/>
          <w:szCs w:val="22"/>
        </w:rPr>
        <w:t xml:space="preserve">tingkat </w:t>
      </w:r>
      <w:r w:rsidRPr="00044E37">
        <w:rPr>
          <w:rFonts w:ascii="Arial" w:hAnsi="Arial" w:cs="Arial"/>
          <w:sz w:val="22"/>
          <w:szCs w:val="22"/>
        </w:rPr>
        <w:t>kebersihan rongga mulut. Kebersihan mulut bertujuan untuk menjaga tingkat kebersihan dan kesehatan rongga mulut serta bertujuan untuk mencegah terjadinya penyakit atau masalah-masalah lainnya pada rongga mulut seperti karies, halitosis, gingivitis,</w:t>
      </w:r>
      <w:r w:rsidR="008A28D9">
        <w:rPr>
          <w:rFonts w:ascii="Arial" w:hAnsi="Arial" w:cs="Arial"/>
          <w:sz w:val="22"/>
          <w:szCs w:val="22"/>
        </w:rPr>
        <w:t xml:space="preserve"> stomatitis,</w:t>
      </w:r>
      <w:r w:rsidRPr="00044E37">
        <w:rPr>
          <w:rFonts w:ascii="Arial" w:hAnsi="Arial" w:cs="Arial"/>
          <w:sz w:val="22"/>
          <w:szCs w:val="22"/>
        </w:rPr>
        <w:t xml:space="preserve"> dan periodontitis karena adanya proses infeksi yang disebabkan oleh </w:t>
      </w:r>
      <w:r w:rsidR="008A28D9">
        <w:rPr>
          <w:rFonts w:ascii="Arial" w:hAnsi="Arial" w:cs="Arial"/>
          <w:sz w:val="22"/>
          <w:szCs w:val="22"/>
        </w:rPr>
        <w:t xml:space="preserve">akumulasi </w:t>
      </w:r>
      <w:r w:rsidRPr="00044E37">
        <w:rPr>
          <w:rFonts w:ascii="Arial" w:hAnsi="Arial" w:cs="Arial"/>
          <w:sz w:val="22"/>
          <w:szCs w:val="22"/>
        </w:rPr>
        <w:t xml:space="preserve">bakteri yang berasal dari plak dental dengan cara </w:t>
      </w:r>
      <w:r w:rsidRPr="00044E37">
        <w:rPr>
          <w:rFonts w:ascii="Arial" w:hAnsi="Arial" w:cs="Arial"/>
          <w:sz w:val="22"/>
          <w:szCs w:val="22"/>
        </w:rPr>
        <w:t xml:space="preserve">menggosok gigi setiap hari dan membersihkan area di sekitar gigi untuk mencegah terjadinya penyakit pada mulut, gigi, dan gusi </w:t>
      </w:r>
      <w:r w:rsidRPr="00044E37">
        <w:rPr>
          <w:rStyle w:val="FootnoteReference"/>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{"citationItems":[{"id":"ITEM-1","itemData":{"author":[{"dropping-particle":"","family":"Harris","given":"Norman O.","non-dropping-particle":"","parse-names":false,"suffix":""},{"dropping-particle":"","family":"Christen","given":"Arden G.","non-dropping-particle":"","parse-names":false,"suffix":""}],"edition":"4","id":"ITEM-1","issued":{"date-parts":[["1995"]]},"publisher":"Appleton &amp; Lange","publisher-place":"Stamford","title":"Primary Preventive Dentistry","type":"book"},"uris":["http://www.mendeley.com/documents/?uuid=38e103ce-1caf-4379-9b9c-dbfac18b2711"]}],"mendeley":{"formattedCitation":"(5)","plainTextFormattedCitation":"(5)","previouslyFormattedCitation":"(5)"},"properties":{"noteIndex":0},"schema":"https://github.com/citation-style-language/schema/raw/master/csl-citation.json"}</w:instrText>
      </w:r>
      <w:r w:rsidRPr="00044E37">
        <w:rPr>
          <w:rStyle w:val="FootnoteReference"/>
          <w:rFonts w:ascii="Arial" w:hAnsi="Arial" w:cs="Arial"/>
          <w:sz w:val="22"/>
          <w:szCs w:val="22"/>
        </w:rPr>
        <w:fldChar w:fldCharType="separate"/>
      </w:r>
      <w:r w:rsidRPr="00044E37">
        <w:rPr>
          <w:rFonts w:ascii="Arial" w:hAnsi="Arial" w:cs="Arial"/>
          <w:bCs/>
          <w:noProof/>
          <w:sz w:val="22"/>
          <w:szCs w:val="22"/>
        </w:rPr>
        <w:t>(5)</w:t>
      </w:r>
      <w:r w:rsidRPr="00044E37">
        <w:rPr>
          <w:rStyle w:val="FootnoteReference"/>
          <w:rFonts w:ascii="Arial" w:hAnsi="Arial" w:cs="Arial"/>
          <w:sz w:val="22"/>
          <w:szCs w:val="22"/>
        </w:rPr>
        <w:fldChar w:fldCharType="end"/>
      </w:r>
      <w:r w:rsidRPr="00044E37">
        <w:rPr>
          <w:rFonts w:ascii="Arial" w:hAnsi="Arial" w:cs="Arial"/>
          <w:sz w:val="22"/>
          <w:szCs w:val="22"/>
        </w:rPr>
        <w:t xml:space="preserve">. Kebersihan mulut juga dapat membantu untuk mencegah </w:t>
      </w:r>
      <w:r w:rsidR="008A28D9">
        <w:rPr>
          <w:rFonts w:ascii="Arial" w:hAnsi="Arial" w:cs="Arial"/>
          <w:sz w:val="22"/>
          <w:szCs w:val="22"/>
        </w:rPr>
        <w:t>timbulnya kehilangan gigi yang disebabkan oleh karena faktor</w:t>
      </w:r>
      <w:r w:rsidRPr="00044E37">
        <w:rPr>
          <w:rFonts w:ascii="Arial" w:hAnsi="Arial" w:cs="Arial"/>
          <w:sz w:val="22"/>
          <w:szCs w:val="22"/>
        </w:rPr>
        <w:t xml:space="preserve"> patologis </w:t>
      </w:r>
      <w:r w:rsidRPr="00044E37">
        <w:rPr>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{"citationItems":[{"id":"ITEM-1","itemData":{"author":[{"dropping-particle":"","family":"Mitra","given":"Muhammad","non-dropping-particle":"","parse-names":false,"suffix":""}],"container-title":"Skripsi","id":"ITEM-1","issued":{"date-parts":[["2010"]]},"publisher":"Fakultas Kedokteran Gigi Universitas Sumatera Utara","publisher-place":"Medan","title":"Hubungan Status Karies dan Gingivitis dengan Oral Hygiene pada Anak Usia 6-12 Tahun di Desa Ujung Rambung Kecamatan Pantai Cermin Kabupaten Serdang Bedagai","type":"book"},"uris":["http://www.mendeley.com/documents/?uuid=82140555-0953-421c-b18d-f26bcbfd1de3"]}],"mendeley":{"formattedCitation":"(6)","plainTextFormattedCitation":"(6)","previouslyFormattedCitation":"(6)"},"properties":{"noteIndex":0},"schema":"https://github.com/citation-style-language/schema/raw/master/csl-citation.json"}</w:instrText>
      </w:r>
      <w:r w:rsidRPr="00044E37">
        <w:rPr>
          <w:rFonts w:ascii="Arial" w:hAnsi="Arial" w:cs="Arial"/>
          <w:sz w:val="22"/>
          <w:szCs w:val="22"/>
        </w:rPr>
        <w:fldChar w:fldCharType="separate"/>
      </w:r>
      <w:r w:rsidRPr="00044E37">
        <w:rPr>
          <w:rFonts w:ascii="Arial" w:hAnsi="Arial" w:cs="Arial"/>
          <w:noProof/>
          <w:sz w:val="22"/>
          <w:szCs w:val="22"/>
        </w:rPr>
        <w:t>(6)</w:t>
      </w:r>
      <w:r w:rsidRPr="00044E37">
        <w:rPr>
          <w:rFonts w:ascii="Arial" w:hAnsi="Arial" w:cs="Arial"/>
          <w:sz w:val="22"/>
          <w:szCs w:val="22"/>
        </w:rPr>
        <w:fldChar w:fldCharType="end"/>
      </w:r>
      <w:r w:rsidR="008A28D9">
        <w:rPr>
          <w:rFonts w:ascii="Arial" w:hAnsi="Arial" w:cs="Arial"/>
          <w:sz w:val="22"/>
          <w:szCs w:val="22"/>
        </w:rPr>
        <w:t xml:space="preserve">. Kebersihan mulut juga dapat digunakan </w:t>
      </w:r>
      <w:r w:rsidRPr="00044E37">
        <w:rPr>
          <w:rFonts w:ascii="Arial" w:hAnsi="Arial" w:cs="Arial"/>
          <w:sz w:val="22"/>
          <w:szCs w:val="22"/>
        </w:rPr>
        <w:t xml:space="preserve">untuk </w:t>
      </w:r>
      <w:r w:rsidR="008A28D9">
        <w:rPr>
          <w:rFonts w:ascii="Arial" w:hAnsi="Arial" w:cs="Arial"/>
          <w:sz w:val="22"/>
          <w:szCs w:val="22"/>
        </w:rPr>
        <w:t xml:space="preserve">membantu </w:t>
      </w:r>
      <w:r w:rsidRPr="00044E37">
        <w:rPr>
          <w:rFonts w:ascii="Arial" w:hAnsi="Arial" w:cs="Arial"/>
          <w:sz w:val="22"/>
          <w:szCs w:val="22"/>
        </w:rPr>
        <w:t xml:space="preserve">menyegarkan mulut, meningkatkan daya tahan tubuh, memperbaiki fungsi mulut untuk meningkatkan nafsu makan, menghentikan proses penyebaran infeksi penyakit baik lokal maupun sistemik melalui rongga mulut, memberikan rasa nyaman pada mulut seseorang, mengurangi rasa nyeri yang berlebih, serta mengurangi dan mencegah terjadinya komplikasi-komplikasi dari penyakit-penyakit yang berbahaya </w:t>
      </w:r>
      <w:r w:rsidRPr="00044E37">
        <w:rPr>
          <w:rStyle w:val="FootnoteReference"/>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{"citationItems":[{"id":"ITEM-1","itemData":{"author":[{"dropping-particle":"","family":"Hermawan","given":"Rudi","non-dropping-particle":"","parse-names":false,"suffix":""}],"id":"ITEM-1","issued":{"date-parts":[["2010"]]},"publisher":"Buku Biru","publisher-place":"Yogyakarta","title":"Menyehatkan Daerah Mulut","type":"book"},"uris":["http://www.mendeley.com/documents/?uuid=a33c11c5-a5b8-47af-ac13-f6d38be6864b"]},{"id":"ITEM-2","itemData":{"author":[{"dropping-particle":"","family":"Darby","given":"Michele L.","non-dropping-particle":"","parse-names":false,"suffix":""},{"dropping-particle":"","family":"L.","given":"Margareth M.","non-dropping-particle":"","parse-names":false,"suffix":""}],"id":"ITEM-2","issued":{"date-parts":[["2010"]]},"publisher":"Saunders Elsevier","publisher-place":"St Louis","title":"Dental Hygiene: Theory and Practice","type":"book"},"uris":["http://www.mendeley.com/documents/?uuid=2ebb73d6-d626-4ed6-8ab0-09412628e080"]},{"id":"ITEM-3","itemData":{"author":[{"dropping-particle":"","family":"Hidayat","given":"Rachmat","non-dropping-particle":"","parse-names":false,"suffix":""},{"dropping-particle":"","family":"Tandiari","given":"Astrid","non-dropping-particle":"","parse-names":false,"suffix":""}],"id":"ITEM-3","issued":{"date-parts":[["2016"]]},"publisher":"CV Andi Offset","publisher-place":"Yogyakarta","title":"Kesehatan Gigi &amp; Mulut: Apa yang Sebaiknya Anda Tahu ?","type":"book"},"uris":["http://www.mendeley.com/documents/?uuid=dde18b55-ddc1-4217-b9e2-fa8772bd3eb0"]},{"id":"ITEM-4","itemData":{"ISSN":"0126-1762","author":[{"dropping-particle":"","family":"Santoso","given":"Oedijani","non-dropping-particle":"","parse-names":false,"suffix":""},{"dropping-particle":"","family":"Sr","given":"Wildam Aditya","non-dropping-particle":"","parse-names":false,"suffix":""},{"dropping-particle":"","family":"Dwi Retnonigrum","given":"","non-dropping-particle":"","parse-names":false,"suffix":""}],"container-title":"Media Medika Indonesia","id":"ITEM-4","issued":{"date-parts":[["2009"]]},"page":"288-294","title":"Hubungan Kebersihan Mulut dan Gingivitis Ibu Hamil Terhadap Kejadian Bayi Berat Badan Lahir Rendah Kurang Bulan di RSUP Dr Kariadi Semarang dan Jejaringnya","type":"article-journal","volume":"43"},"uris":["http://www.mendeley.com/documents/?uuid=9a8ab185-7b52-4548-9aae-058885e0a618"]}],"mendeley":{"formattedCitation":"(7–10)","plainTextFormattedCitation":"(7–10)","previouslyFormattedCitation":"(7–10)"},"properties":{"noteIndex":0},"schema":"https://github.com/citation-style-language/schema/raw/master/csl-citation.json"}</w:instrText>
      </w:r>
      <w:r w:rsidRPr="00044E37">
        <w:rPr>
          <w:rStyle w:val="FootnoteReference"/>
          <w:rFonts w:ascii="Arial" w:hAnsi="Arial" w:cs="Arial"/>
          <w:sz w:val="22"/>
          <w:szCs w:val="22"/>
        </w:rPr>
        <w:fldChar w:fldCharType="separate"/>
      </w:r>
      <w:r w:rsidRPr="00044E37">
        <w:rPr>
          <w:rFonts w:ascii="Arial" w:hAnsi="Arial" w:cs="Arial"/>
          <w:noProof/>
          <w:sz w:val="22"/>
          <w:szCs w:val="22"/>
        </w:rPr>
        <w:t>(7–10)</w:t>
      </w:r>
      <w:r w:rsidRPr="00044E37">
        <w:rPr>
          <w:rStyle w:val="FootnoteReference"/>
          <w:rFonts w:ascii="Arial" w:hAnsi="Arial" w:cs="Arial"/>
          <w:sz w:val="22"/>
          <w:szCs w:val="22"/>
        </w:rPr>
        <w:fldChar w:fldCharType="end"/>
      </w:r>
      <w:r w:rsidRPr="00044E37">
        <w:rPr>
          <w:rFonts w:ascii="Arial" w:hAnsi="Arial" w:cs="Arial"/>
          <w:sz w:val="22"/>
          <w:szCs w:val="22"/>
        </w:rPr>
        <w:t xml:space="preserve">. </w:t>
      </w:r>
      <w:r w:rsidR="008A28D9">
        <w:rPr>
          <w:rFonts w:ascii="Arial" w:hAnsi="Arial" w:cs="Arial"/>
          <w:sz w:val="22"/>
          <w:szCs w:val="22"/>
        </w:rPr>
        <w:t>Berbagai t</w:t>
      </w:r>
      <w:r w:rsidRPr="00044E37">
        <w:rPr>
          <w:rFonts w:ascii="Arial" w:hAnsi="Arial" w:cs="Arial"/>
          <w:sz w:val="22"/>
          <w:szCs w:val="22"/>
        </w:rPr>
        <w:t>indakan dasar yang dapat dilakukan oleh seseorang untuk menjaga tingkat kebersihan mulutnya adalah dengan menyikat gigi, menggunakan benang gigi, dan dengan menggunakan obat kumur, akan tetapi penggunaan obat kumur tidak dianjurkan untuk digunakan setiap hari karena dapat menimbulkan banyak efek samping yang berbahaya bagi mulut dan tubuh, seperti</w:t>
      </w:r>
      <w:r w:rsidR="008A28D9">
        <w:rPr>
          <w:rFonts w:ascii="Arial" w:hAnsi="Arial" w:cs="Arial"/>
          <w:sz w:val="22"/>
          <w:szCs w:val="22"/>
        </w:rPr>
        <w:t xml:space="preserve"> terjadinya</w:t>
      </w:r>
      <w:r w:rsidRPr="00044E37">
        <w:rPr>
          <w:rFonts w:ascii="Arial" w:hAnsi="Arial" w:cs="Arial"/>
          <w:sz w:val="22"/>
          <w:szCs w:val="22"/>
        </w:rPr>
        <w:t xml:space="preserve"> </w:t>
      </w:r>
      <w:r w:rsidRPr="008A28D9">
        <w:rPr>
          <w:rStyle w:val="SubtleEmphasis"/>
          <w:rFonts w:ascii="Arial" w:hAnsi="Arial" w:cs="Arial"/>
          <w:i w:val="0"/>
          <w:color w:val="auto"/>
          <w:sz w:val="22"/>
          <w:szCs w:val="22"/>
          <w:lang w:val="en-ID"/>
        </w:rPr>
        <w:t>pelepasan epitel mukosa rongga mulut, keratosis, ulser mukosa, petechiae,</w:t>
      </w:r>
      <w:r w:rsidR="008A28D9">
        <w:rPr>
          <w:rStyle w:val="SubtleEmphasis"/>
          <w:rFonts w:ascii="Arial" w:hAnsi="Arial" w:cs="Arial"/>
          <w:i w:val="0"/>
          <w:color w:val="auto"/>
          <w:sz w:val="22"/>
          <w:szCs w:val="22"/>
          <w:lang w:val="en-ID"/>
        </w:rPr>
        <w:t xml:space="preserve"> dan bahkan juga data menyebabkan terjadinya</w:t>
      </w:r>
      <w:r w:rsidRPr="008A28D9">
        <w:rPr>
          <w:rStyle w:val="SubtleEmphasis"/>
          <w:rFonts w:ascii="Arial" w:hAnsi="Arial" w:cs="Arial"/>
          <w:i w:val="0"/>
          <w:color w:val="auto"/>
          <w:sz w:val="22"/>
          <w:szCs w:val="22"/>
          <w:lang w:val="en-ID"/>
        </w:rPr>
        <w:t xml:space="preserve"> kanker rongga mulut, kanker faring, dan rasa nyeri pada rongga mulut </w:t>
      </w:r>
      <w:r w:rsidRPr="008A28D9">
        <w:rPr>
          <w:rStyle w:val="SubtleEmphasis"/>
          <w:rFonts w:ascii="Arial" w:hAnsi="Arial" w:cs="Arial"/>
          <w:i w:val="0"/>
          <w:color w:val="auto"/>
          <w:sz w:val="22"/>
          <w:szCs w:val="22"/>
          <w:lang w:val="en-ID"/>
        </w:rPr>
        <w:fldChar w:fldCharType="begin" w:fldLock="1"/>
      </w:r>
      <w:r w:rsidR="00717FDE">
        <w:rPr>
          <w:rStyle w:val="SubtleEmphasis"/>
          <w:rFonts w:ascii="Arial" w:hAnsi="Arial" w:cs="Arial"/>
          <w:i w:val="0"/>
          <w:color w:val="auto"/>
          <w:sz w:val="22"/>
          <w:szCs w:val="22"/>
          <w:lang w:val="en-ID"/>
        </w:rPr>
        <w:instrText>ADDIN CSL_CITATION {"citationItems":[{"id":"ITEM-1","itemData":{"author":[{"dropping-particle":"","family":"Putri","given":"Megananda Hiranya","non-dropping-particle":"","parse-names":false,"suffix":""},{"dropping-particle":"","family":"Herijulianti","given":"Eliza","non-dropping-particle":"","parse-names":false,"suffix":""},{"dropping-particle":"","family":"Nurjannah","given":"Neneng","non-dropping-particle":"","parse-names":false,"suffix":""}],"id":"ITEM-1","issued":{"date-parts":[["2015"]]},"publisher":"Penerbit Buku Kedokteran EGC","publisher-place":"Jakarta","title":"Ilmu Pencegahan Penyakit Jaringan Keras dan Jaringan Pendukung Gigi","type":"book"},"uris":["http://www.mendeley.com/documents/?uuid=61035291-9187-4a3f-a1fb-02c4f7942140"]},{"id":"ITEM-2","itemData":{"author":[{"dropping-particle":"","family":"Winn","given":"Deborah M.","non-dropping-particle":"","parse-names":false,"suffix":""},{"dropping-particle":"","family":"Blot","given":"William J.","non-dropping-particle":"","parse-names":false,"suffix":""},{"dropping-particle":"","family":"McLaughlin","given":"Joseph K.","non-dropping-particle":"","parse-names":false,"suffix":""},{"dropping-particle":"","family":"Austin","given":"Donald F.","non-dropping-particle":"","parse-names":false,"suffix":""},{"dropping-particle":"","family":"Greenberg","given":"Raymond S.","non-dropping-particle":"","parse-names":false,"suffix":""},{"dropping-particle":"","family":"Preston-Martin","given":"Susan","non-dropping-particle":"","parse-names":false,"suffix":""},{"dropping-particle":"","family":"Schoenberg","given":"Janet B.","non-dropping-particle":"","parse-names":false,"suffix":""},{"dropping-particle":"","family":"Joseph F. Fraumeni","given":"Jr.","non-dropping-particle":"","parse-names":false,"suffix":""}],"container-title":"Cancer Research","id":"ITEM-2","issued":{"date-parts":[["1991"]]},"page":"3044-3047","title":"Mouthwash Use and Oral Conditions in the Risk of Oral and Pharyngeal Cancer","type":"article-journal","volume":"51"},"uris":["http://www.mendeley.com/documents/?uuid=da9c9f72-c53a-4e23-9ee8-1af8afae9059"]},{"id":"ITEM-3","itemData":{"author":[{"dropping-particle":"","family":"S.","given":"Farah C.","non-dropping-particle":"","parse-names":false,"suffix":""},{"dropping-particle":"","family":"McIntosh","given":"Lidija","non-dropping-particle":"","parse-names":false,"suffix":""},{"dropping-particle":"","family":"McCullough","given":"Michael J.","non-dropping-particle":"","parse-names":false,"suffix":""}],"container-title":"Mouthwashes. Australian Prescriber","id":"ITEM-3","issue":"6","issued":{"date-parts":[["2009"]]},"page":"162-164","title":"Mouthwashes","type":"article-journal","volume":"32"},"uris":["http://www.mendeley.com/documents/?uuid=1945ad3e-cf15-4062-ba2d-7149646cb578"]}],"mendeley":{"formattedCitation":"(11–13)","plainTextFormattedCitation":"(11–13)","previouslyFormattedCitation":"(11–13)"},"properties":{"noteIndex":0},"schema":"https://github.com/citation-style-language/schema/raw/master/csl-citation.json"}</w:instrText>
      </w:r>
      <w:r w:rsidRPr="008A28D9">
        <w:rPr>
          <w:rStyle w:val="SubtleEmphasis"/>
          <w:rFonts w:ascii="Arial" w:hAnsi="Arial" w:cs="Arial"/>
          <w:i w:val="0"/>
          <w:color w:val="auto"/>
          <w:sz w:val="22"/>
          <w:szCs w:val="22"/>
          <w:lang w:val="en-ID"/>
        </w:rPr>
        <w:fldChar w:fldCharType="separate"/>
      </w:r>
      <w:r w:rsidRPr="008A28D9">
        <w:rPr>
          <w:rStyle w:val="SubtleEmphasis"/>
          <w:rFonts w:ascii="Arial" w:hAnsi="Arial" w:cs="Arial"/>
          <w:i w:val="0"/>
          <w:noProof/>
          <w:color w:val="auto"/>
          <w:sz w:val="22"/>
          <w:szCs w:val="22"/>
          <w:lang w:val="en-ID"/>
        </w:rPr>
        <w:t>(11–13)</w:t>
      </w:r>
      <w:r w:rsidRPr="008A28D9">
        <w:rPr>
          <w:rStyle w:val="SubtleEmphasis"/>
          <w:rFonts w:ascii="Arial" w:hAnsi="Arial" w:cs="Arial"/>
          <w:i w:val="0"/>
          <w:color w:val="auto"/>
          <w:sz w:val="22"/>
          <w:szCs w:val="22"/>
          <w:lang w:val="en-ID"/>
        </w:rPr>
        <w:fldChar w:fldCharType="end"/>
      </w:r>
      <w:r w:rsidRPr="008A28D9">
        <w:rPr>
          <w:rStyle w:val="SubtleEmphasis"/>
          <w:rFonts w:ascii="Arial" w:hAnsi="Arial" w:cs="Arial"/>
          <w:i w:val="0"/>
          <w:sz w:val="22"/>
          <w:szCs w:val="22"/>
        </w:rPr>
        <w:t>.</w:t>
      </w:r>
    </w:p>
    <w:p w:rsidR="00013C50" w:rsidRPr="00044E37" w:rsidRDefault="008A28D9" w:rsidP="00013C50">
      <w:pPr>
        <w:spacing w:line="360" w:lineRule="auto"/>
        <w:ind w:firstLine="720"/>
        <w:jc w:val="both"/>
        <w:rPr>
          <w:rStyle w:val="SubtleEmphasis"/>
          <w:rFonts w:ascii="Arial" w:hAnsi="Arial" w:cs="Arial"/>
          <w:b/>
          <w:i w:val="0"/>
          <w:color w:val="auto"/>
          <w:sz w:val="22"/>
          <w:szCs w:val="22"/>
        </w:rPr>
      </w:pPr>
      <w:r>
        <w:rPr>
          <w:rFonts w:ascii="Arial" w:hAnsi="Arial" w:cs="Arial"/>
          <w:sz w:val="22"/>
          <w:szCs w:val="22"/>
        </w:rPr>
        <w:lastRenderedPageBreak/>
        <w:t>Penting bagi masyarakat</w:t>
      </w:r>
      <w:r w:rsidR="00013C50" w:rsidRPr="00044E37">
        <w:rPr>
          <w:rFonts w:ascii="Arial" w:hAnsi="Arial" w:cs="Arial"/>
          <w:sz w:val="22"/>
          <w:szCs w:val="22"/>
        </w:rPr>
        <w:t xml:space="preserve"> untuk menjaga kebersihan mulutnya dan sudah menjadi peran bagi dokter gigi untuk membantu masyarakat dalam menjaga kebersihan</w:t>
      </w:r>
      <w:r>
        <w:rPr>
          <w:rFonts w:ascii="Arial" w:hAnsi="Arial" w:cs="Arial"/>
          <w:sz w:val="22"/>
          <w:szCs w:val="22"/>
        </w:rPr>
        <w:t xml:space="preserve"> mulutnya agar tetap baik. B</w:t>
      </w:r>
      <w:r w:rsidR="00013C50" w:rsidRPr="00044E37">
        <w:rPr>
          <w:rFonts w:ascii="Arial" w:hAnsi="Arial" w:cs="Arial"/>
          <w:sz w:val="22"/>
          <w:szCs w:val="22"/>
        </w:rPr>
        <w:t>anyak cara</w:t>
      </w:r>
      <w:r>
        <w:rPr>
          <w:rFonts w:ascii="Arial" w:hAnsi="Arial" w:cs="Arial"/>
          <w:sz w:val="22"/>
          <w:szCs w:val="22"/>
        </w:rPr>
        <w:t xml:space="preserve"> </w:t>
      </w:r>
      <w:r w:rsidR="00013C50" w:rsidRPr="00044E37">
        <w:rPr>
          <w:rFonts w:ascii="Arial" w:hAnsi="Arial" w:cs="Arial"/>
          <w:sz w:val="22"/>
          <w:szCs w:val="22"/>
        </w:rPr>
        <w:t>dapat dilakukan oleh dokter gigi dalam membantu pasiennya untuk menjaga kebersihan mulutnya, salah satunya adalah m</w:t>
      </w:r>
      <w:r>
        <w:rPr>
          <w:rFonts w:ascii="Arial" w:hAnsi="Arial" w:cs="Arial"/>
          <w:sz w:val="22"/>
          <w:szCs w:val="22"/>
        </w:rPr>
        <w:t>elalui hipnosis.</w:t>
      </w:r>
      <w:r w:rsidRPr="008A28D9">
        <w:rPr>
          <w:rFonts w:ascii="Arial" w:hAnsi="Arial" w:cs="Arial"/>
          <w:i/>
          <w:sz w:val="22"/>
          <w:szCs w:val="22"/>
        </w:rPr>
        <w:t xml:space="preserve"> </w:t>
      </w:r>
      <w:r w:rsidR="00013C50" w:rsidRPr="008A28D9">
        <w:rPr>
          <w:rStyle w:val="SubtleEmphasis"/>
          <w:rFonts w:ascii="Arial" w:hAnsi="Arial" w:cs="Arial"/>
          <w:i w:val="0"/>
          <w:color w:val="auto"/>
          <w:sz w:val="22"/>
          <w:szCs w:val="22"/>
        </w:rPr>
        <w:t xml:space="preserve">Hipnosis </w:t>
      </w:r>
      <w:r w:rsidR="00013C50" w:rsidRPr="008A28D9">
        <w:rPr>
          <w:rStyle w:val="SubtleEmphasis"/>
          <w:rFonts w:ascii="Arial" w:hAnsi="Arial" w:cs="Arial"/>
          <w:i w:val="0"/>
          <w:color w:val="auto"/>
          <w:sz w:val="22"/>
          <w:szCs w:val="22"/>
        </w:rPr>
        <w:fldChar w:fldCharType="begin" w:fldLock="1"/>
      </w:r>
      <w:r w:rsidR="00717FDE">
        <w:rPr>
          <w:rStyle w:val="SubtleEmphasis"/>
          <w:rFonts w:ascii="Arial" w:hAnsi="Arial" w:cs="Arial"/>
          <w:i w:val="0"/>
          <w:color w:val="auto"/>
          <w:sz w:val="22"/>
          <w:szCs w:val="22"/>
        </w:rPr>
        <w:instrText>ADDIN CSL_CITATION {"citationItems":[{"id":"ITEM-1","itemData":{"author":[{"dropping-particle":"","family":"Rizali","given":"Ervin","non-dropping-particle":"","parse-names":false,"suffix":""}],"id":"ITEM-1","issued":{"date-parts":[["2017"]]},"publisher":"M9 Publishers Jakarta","publisher-place":"Jakarta","title":"Hypnodontic dalam Perspektif Fisiologis","type":"book"},"uris":["http://www.mendeley.com/documents/?uuid=cd7f125f-01ba-4666-8588-17adf7f075dd"]}],"mendeley":{"formattedCitation":"(14)","plainTextFormattedCitation":"(14)","previouslyFormattedCitation":"(14)"},"properties":{"noteIndex":0},"schema":"https://github.com/citation-style-language/schema/raw/master/csl-citation.json"}</w:instrText>
      </w:r>
      <w:r w:rsidR="00013C50" w:rsidRPr="008A28D9">
        <w:rPr>
          <w:rStyle w:val="SubtleEmphasis"/>
          <w:rFonts w:ascii="Arial" w:hAnsi="Arial" w:cs="Arial"/>
          <w:i w:val="0"/>
          <w:color w:val="auto"/>
          <w:sz w:val="22"/>
          <w:szCs w:val="22"/>
        </w:rPr>
        <w:fldChar w:fldCharType="separate"/>
      </w:r>
      <w:r w:rsidR="00013C50" w:rsidRPr="008A28D9">
        <w:rPr>
          <w:rStyle w:val="SubtleEmphasis"/>
          <w:rFonts w:ascii="Arial" w:hAnsi="Arial" w:cs="Arial"/>
          <w:i w:val="0"/>
          <w:noProof/>
          <w:color w:val="auto"/>
          <w:sz w:val="22"/>
          <w:szCs w:val="22"/>
        </w:rPr>
        <w:t>(14)</w:t>
      </w:r>
      <w:r w:rsidR="00013C50" w:rsidRPr="008A28D9">
        <w:rPr>
          <w:rStyle w:val="SubtleEmphasis"/>
          <w:rFonts w:ascii="Arial" w:hAnsi="Arial" w:cs="Arial"/>
          <w:i w:val="0"/>
          <w:color w:val="auto"/>
          <w:sz w:val="22"/>
          <w:szCs w:val="22"/>
        </w:rPr>
        <w:fldChar w:fldCharType="end"/>
      </w:r>
      <w:r w:rsidR="00013C50" w:rsidRPr="008A28D9">
        <w:rPr>
          <w:rStyle w:val="SubtleEmphasis"/>
          <w:rFonts w:ascii="Arial" w:hAnsi="Arial" w:cs="Arial"/>
          <w:i w:val="0"/>
          <w:color w:val="auto"/>
          <w:sz w:val="22"/>
          <w:szCs w:val="22"/>
        </w:rPr>
        <w:t xml:space="preserve"> adalah sebuah fenomena rasional dan alamiah serta kondisinya dapat dijumpai dalam kehidupan sehari-hari. Kondisi hipnosis dimaksudkan sebagai suatu kondisi dimana seseorang lebih “sugestif” sehingga memampukan orang tersebut untuk lebih mudah menerima informasi atau saran-saran dari orang lain. Hipnosis dapat dimanfaatkan dalam</w:t>
      </w:r>
      <w:r>
        <w:rPr>
          <w:rStyle w:val="SubtleEmphasis"/>
          <w:rFonts w:ascii="Arial" w:hAnsi="Arial" w:cs="Arial"/>
          <w:i w:val="0"/>
          <w:color w:val="auto"/>
          <w:sz w:val="22"/>
          <w:szCs w:val="22"/>
        </w:rPr>
        <w:t xml:space="preserve"> berbagai cabang ilmu kesehatan, misalnya</w:t>
      </w:r>
      <w:r w:rsidR="00013C50" w:rsidRPr="008A28D9">
        <w:rPr>
          <w:rStyle w:val="SubtleEmphasis"/>
          <w:rFonts w:ascii="Arial" w:hAnsi="Arial" w:cs="Arial"/>
          <w:i w:val="0"/>
          <w:color w:val="auto"/>
          <w:sz w:val="22"/>
          <w:szCs w:val="22"/>
        </w:rPr>
        <w:t xml:space="preserve"> ilmu medis, psikologi, dan dental </w:t>
      </w:r>
      <w:r w:rsidR="00013C50" w:rsidRPr="008A28D9">
        <w:rPr>
          <w:rStyle w:val="SubtleEmphasis"/>
          <w:rFonts w:ascii="Arial" w:hAnsi="Arial" w:cs="Arial"/>
          <w:i w:val="0"/>
          <w:color w:val="auto"/>
          <w:sz w:val="22"/>
          <w:szCs w:val="22"/>
        </w:rPr>
        <w:fldChar w:fldCharType="begin" w:fldLock="1"/>
      </w:r>
      <w:r w:rsidR="00717FDE">
        <w:rPr>
          <w:rStyle w:val="SubtleEmphasis"/>
          <w:rFonts w:ascii="Arial" w:hAnsi="Arial" w:cs="Arial"/>
          <w:i w:val="0"/>
          <w:color w:val="auto"/>
          <w:sz w:val="22"/>
          <w:szCs w:val="22"/>
        </w:rPr>
        <w:instrText>ADDIN CSL_CITATION {"citationItems":[{"id":"ITEM-1","itemData":{"author":[{"dropping-particle":"","family":"Dane","given":"J. R.","non-dropping-particle":"","parse-names":false,"suffix":""},{"dropping-particle":"","family":"Kessler","given":"R.","non-dropping-particle":"","parse-names":false,"suffix":""}],"container-title":"Am J Clin Hypn","id":"ITEM-1","issue":"1","issued":{"date-parts":[["1998"]]},"page":"38-54","title":"Future Developments In Professional Hypnosis Training: A Review And Critique Of Available Training With Consideration For Development Of A Nationally Coordinated Program","type":"article-journal","volume":"41"},"uris":["http://www.mendeley.com/documents/?uuid=b3deac55-4bbc-4e33-b288-81751e1b772a"]}],"mendeley":{"formattedCitation":"(15)","plainTextFormattedCitation":"(15)","previouslyFormattedCitation":"(15)"},"properties":{"noteIndex":0},"schema":"https://github.com/citation-style-language/schema/raw/master/csl-citation.json"}</w:instrText>
      </w:r>
      <w:r w:rsidR="00013C50" w:rsidRPr="008A28D9">
        <w:rPr>
          <w:rStyle w:val="SubtleEmphasis"/>
          <w:rFonts w:ascii="Arial" w:hAnsi="Arial" w:cs="Arial"/>
          <w:i w:val="0"/>
          <w:color w:val="auto"/>
          <w:sz w:val="22"/>
          <w:szCs w:val="22"/>
        </w:rPr>
        <w:fldChar w:fldCharType="separate"/>
      </w:r>
      <w:r w:rsidR="00013C50" w:rsidRPr="008A28D9">
        <w:rPr>
          <w:rStyle w:val="SubtleEmphasis"/>
          <w:rFonts w:ascii="Arial" w:hAnsi="Arial" w:cs="Arial"/>
          <w:i w:val="0"/>
          <w:noProof/>
          <w:color w:val="auto"/>
          <w:sz w:val="22"/>
          <w:szCs w:val="22"/>
        </w:rPr>
        <w:t>(15)</w:t>
      </w:r>
      <w:r w:rsidR="00013C50" w:rsidRPr="008A28D9">
        <w:rPr>
          <w:rStyle w:val="SubtleEmphasis"/>
          <w:rFonts w:ascii="Arial" w:hAnsi="Arial" w:cs="Arial"/>
          <w:i w:val="0"/>
          <w:color w:val="auto"/>
          <w:sz w:val="22"/>
          <w:szCs w:val="22"/>
        </w:rPr>
        <w:fldChar w:fldCharType="end"/>
      </w:r>
      <w:r w:rsidR="00013C50" w:rsidRPr="008A28D9">
        <w:rPr>
          <w:rStyle w:val="SubtleEmphasis"/>
          <w:rFonts w:ascii="Arial" w:hAnsi="Arial" w:cs="Arial"/>
          <w:i w:val="0"/>
          <w:color w:val="auto"/>
          <w:sz w:val="22"/>
          <w:szCs w:val="22"/>
        </w:rPr>
        <w:t>.</w:t>
      </w:r>
    </w:p>
    <w:p w:rsidR="00013C50" w:rsidRPr="00044E37"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 xml:space="preserve"> Dental hipnosis adalah suatu cara untuk pemanfaatan hipnosis pada bidang kedokteran gigi dengan melakukan pengontrolan terhadap sistem pikiran manusia. Metode dental hipnosis menurut Rizali (2017) adalah suatu metode dalam menguasai pengaturan alam pikiran manusia oleh operator, sehingga mampu diaplikasikan ke dalam hal-hal yang</w:t>
      </w:r>
      <w:r w:rsidR="008A28D9">
        <w:rPr>
          <w:rFonts w:ascii="Arial" w:hAnsi="Arial" w:cs="Arial"/>
          <w:sz w:val="22"/>
          <w:szCs w:val="22"/>
        </w:rPr>
        <w:t xml:space="preserve"> sifatnya lebih</w:t>
      </w:r>
      <w:r w:rsidRPr="00044E37">
        <w:rPr>
          <w:rFonts w:ascii="Arial" w:hAnsi="Arial" w:cs="Arial"/>
          <w:sz w:val="22"/>
          <w:szCs w:val="22"/>
        </w:rPr>
        <w:t xml:space="preserve"> positif. Manfaat penerapan dental hipnosis dalam kedokteran gigi adalah membantu pasien untuk mengubah kebiasaan dental dan oralnya yang lama dan mengubahnya menjadi kebiasaan baru yan</w:t>
      </w:r>
      <w:r w:rsidR="008A28D9">
        <w:rPr>
          <w:rFonts w:ascii="Arial" w:hAnsi="Arial" w:cs="Arial"/>
          <w:sz w:val="22"/>
          <w:szCs w:val="22"/>
        </w:rPr>
        <w:t xml:space="preserve">g positif. Dental hipnosis </w:t>
      </w:r>
      <w:r w:rsidRPr="00044E37">
        <w:rPr>
          <w:rFonts w:ascii="Arial" w:hAnsi="Arial" w:cs="Arial"/>
          <w:sz w:val="22"/>
          <w:szCs w:val="22"/>
        </w:rPr>
        <w:t>dapat digunakan</w:t>
      </w:r>
      <w:r w:rsidR="008A28D9">
        <w:rPr>
          <w:rFonts w:ascii="Arial" w:hAnsi="Arial" w:cs="Arial"/>
          <w:sz w:val="22"/>
          <w:szCs w:val="22"/>
        </w:rPr>
        <w:t xml:space="preserve"> dalam perawatan klinik</w:t>
      </w:r>
      <w:r w:rsidRPr="00044E37">
        <w:rPr>
          <w:rFonts w:ascii="Arial" w:hAnsi="Arial" w:cs="Arial"/>
          <w:sz w:val="22"/>
          <w:szCs w:val="22"/>
        </w:rPr>
        <w:t xml:space="preserve"> untuk mengatasi stress yang disebabkan oleh </w:t>
      </w:r>
      <w:r w:rsidRPr="00044E37">
        <w:rPr>
          <w:rFonts w:ascii="Arial" w:hAnsi="Arial" w:cs="Arial"/>
          <w:sz w:val="22"/>
          <w:szCs w:val="22"/>
        </w:rPr>
        <w:t xml:space="preserve">kecemasan dan rasa takut terhadap dokter gigi dan prosedur perawatan kedokteran gigi serta dapat merangsang efek anaesthasia sehingga mengurangi tindakan medis yang diperlukan </w:t>
      </w:r>
      <w:r w:rsidRPr="00044E37">
        <w:rPr>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{"citationItems":[{"id":"ITEM-1","itemData":{"author":[{"dropping-particle":"","family":"Malik","given":"Mamta","non-dropping-particle":"","parse-names":false,"suffix":""},{"dropping-particle":"","family":"V.","given":"Pruthvi Raj H.","non-dropping-particle":"","parse-names":false,"suffix":""},{"dropping-particle":"","family":"Maurya","given":"RajKumar","non-dropping-particle":"","parse-names":false,"suffix":""},{"dropping-particle":"","family":"Laller","given":"Sanjeev","non-dropping-particle":"","parse-names":false,"suffix":""},{"dropping-particle":"","family":"Shukla","given":"Chandresh","non-dropping-particle":"","parse-names":false,"suffix":""},{"dropping-particle":"","family":"Saini","given":"Ravinder S.","non-dropping-particle":"","parse-names":false,"suffix":""}],"container-title":"International Journal of Recent Trends in Science and Technology","id":"ITEM-1","issue":"2","issued":{"date-parts":[["2016"]]},"page":"188-190","title":"Hypnodontics: Role of Hypnosis in Oral Health","type":"article-journal","volume":"20"},"uris":["http://www.mendeley.com/documents/?uuid=cd96b084-cf67-4037-9a45-f28259bb3109"]}],"mendeley":{"formattedCitation":"(16)","plainTextFormattedCitation":"(16)","previouslyFormattedCitation":"(16)"},"properties":{"noteIndex":0},"schema":"https://github.com/citation-style-language/schema/raw/master/csl-citation.json"}</w:instrText>
      </w:r>
      <w:r w:rsidRPr="00044E37">
        <w:rPr>
          <w:rFonts w:ascii="Arial" w:hAnsi="Arial" w:cs="Arial"/>
          <w:sz w:val="22"/>
          <w:szCs w:val="22"/>
        </w:rPr>
        <w:fldChar w:fldCharType="separate"/>
      </w:r>
      <w:r w:rsidRPr="00044E37">
        <w:rPr>
          <w:rFonts w:ascii="Arial" w:hAnsi="Arial" w:cs="Arial"/>
          <w:noProof/>
          <w:sz w:val="22"/>
          <w:szCs w:val="22"/>
        </w:rPr>
        <w:t>(16)</w:t>
      </w:r>
      <w:r w:rsidRPr="00044E37">
        <w:rPr>
          <w:rFonts w:ascii="Arial" w:hAnsi="Arial" w:cs="Arial"/>
          <w:sz w:val="22"/>
          <w:szCs w:val="22"/>
        </w:rPr>
        <w:fldChar w:fldCharType="end"/>
      </w:r>
      <w:r w:rsidRPr="00044E37">
        <w:rPr>
          <w:rFonts w:ascii="Arial" w:hAnsi="Arial" w:cs="Arial"/>
          <w:sz w:val="22"/>
          <w:szCs w:val="22"/>
        </w:rPr>
        <w:t>.</w:t>
      </w:r>
    </w:p>
    <w:p w:rsidR="00013C50" w:rsidRPr="00044E37"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Dental hipnosis merupakan suatu ilmu terapan yang diharapkan mampu untuk membantu atau memotivasi seseorang untuk menjaga keb</w:t>
      </w:r>
      <w:r w:rsidR="00912404">
        <w:rPr>
          <w:rFonts w:ascii="Arial" w:hAnsi="Arial" w:cs="Arial"/>
          <w:sz w:val="22"/>
          <w:szCs w:val="22"/>
        </w:rPr>
        <w:t>ersihan mulutnya. D</w:t>
      </w:r>
      <w:r w:rsidRPr="00044E37">
        <w:rPr>
          <w:rFonts w:ascii="Arial" w:hAnsi="Arial" w:cs="Arial"/>
          <w:sz w:val="22"/>
          <w:szCs w:val="22"/>
        </w:rPr>
        <w:t>okter gigi</w:t>
      </w:r>
      <w:r w:rsidR="00912404">
        <w:rPr>
          <w:rFonts w:ascii="Arial" w:hAnsi="Arial" w:cs="Arial"/>
          <w:sz w:val="22"/>
          <w:szCs w:val="22"/>
        </w:rPr>
        <w:t xml:space="preserve"> bertindak dengan</w:t>
      </w:r>
      <w:r w:rsidRPr="00044E37">
        <w:rPr>
          <w:rFonts w:ascii="Arial" w:hAnsi="Arial" w:cs="Arial"/>
          <w:sz w:val="22"/>
          <w:szCs w:val="22"/>
        </w:rPr>
        <w:t xml:space="preserve"> memberikan sugesti yang sifatnya persuasif dan langsung mengenai pikiran bawah sadar pasien sehingga akan terjadi perubahan pola pikir dan kebiasaan pasien yang lama dan buruk dapat berubah menjadi kebiasaan baru yang sifatnya</w:t>
      </w:r>
      <w:r w:rsidR="00912404">
        <w:rPr>
          <w:rFonts w:ascii="Arial" w:hAnsi="Arial" w:cs="Arial"/>
          <w:sz w:val="22"/>
          <w:szCs w:val="22"/>
        </w:rPr>
        <w:t xml:space="preserve"> lebih positif sehingga </w:t>
      </w:r>
      <w:r w:rsidRPr="00044E37">
        <w:rPr>
          <w:rFonts w:ascii="Arial" w:hAnsi="Arial" w:cs="Arial"/>
          <w:sz w:val="22"/>
          <w:szCs w:val="22"/>
        </w:rPr>
        <w:t>dapat meningkatkan kualitas hidup orang tersebut.</w:t>
      </w:r>
    </w:p>
    <w:p w:rsidR="00013C50" w:rsidRPr="00044E37"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Berdasarkan uraian di atas, penulis tertarik untuk mengadakan penelitian mengenai pengaruh dental hipnosis terhadap tingkat kebersihan mulut pada pasien dewasa di salah satu klinik swasta di kota Tangerang.</w:t>
      </w:r>
    </w:p>
    <w:p w:rsidR="0015224E" w:rsidRDefault="0015224E">
      <w:pPr>
        <w:spacing w:line="360" w:lineRule="auto"/>
        <w:jc w:val="both"/>
        <w:rPr>
          <w:rFonts w:ascii="Arial" w:eastAsia="Arial" w:hAnsi="Arial" w:cs="Arial"/>
          <w:b/>
          <w:sz w:val="22"/>
          <w:szCs w:val="22"/>
        </w:rPr>
      </w:pPr>
    </w:p>
    <w:p w:rsidR="0015224E" w:rsidRDefault="0083302C">
      <w:pPr>
        <w:spacing w:line="360" w:lineRule="auto"/>
        <w:jc w:val="both"/>
        <w:rPr>
          <w:rFonts w:ascii="Arial" w:eastAsia="Arial" w:hAnsi="Arial" w:cs="Arial"/>
          <w:sz w:val="22"/>
          <w:szCs w:val="22"/>
        </w:rPr>
      </w:pPr>
      <w:r>
        <w:rPr>
          <w:rFonts w:ascii="Arial" w:eastAsia="Arial" w:hAnsi="Arial" w:cs="Arial"/>
          <w:b/>
          <w:sz w:val="22"/>
          <w:szCs w:val="22"/>
        </w:rPr>
        <w:t xml:space="preserve">METODE PENELITIAN </w:t>
      </w:r>
    </w:p>
    <w:p w:rsidR="00013C50" w:rsidRDefault="00013C50" w:rsidP="00013C50">
      <w:pPr>
        <w:spacing w:line="360" w:lineRule="auto"/>
        <w:ind w:firstLine="720"/>
        <w:jc w:val="both"/>
        <w:rPr>
          <w:rFonts w:ascii="Arial" w:hAnsi="Arial" w:cs="Arial"/>
          <w:sz w:val="22"/>
          <w:szCs w:val="22"/>
        </w:rPr>
      </w:pPr>
      <w:r w:rsidRPr="00044E37">
        <w:rPr>
          <w:rFonts w:ascii="Arial" w:eastAsia="Arial" w:hAnsi="Arial" w:cs="Arial"/>
          <w:sz w:val="22"/>
          <w:szCs w:val="22"/>
        </w:rPr>
        <w:t xml:space="preserve">Penelitian ini merupakan penelitian </w:t>
      </w:r>
      <w:r w:rsidRPr="00044E37">
        <w:rPr>
          <w:rFonts w:ascii="Arial" w:hAnsi="Arial" w:cs="Arial"/>
          <w:sz w:val="22"/>
          <w:szCs w:val="22"/>
        </w:rPr>
        <w:t xml:space="preserve">eksperimental semu dengan rancangan </w:t>
      </w:r>
      <w:r w:rsidRPr="00044E37">
        <w:rPr>
          <w:rFonts w:ascii="Arial" w:hAnsi="Arial" w:cs="Arial"/>
          <w:i/>
          <w:sz w:val="22"/>
          <w:szCs w:val="22"/>
        </w:rPr>
        <w:t>one group pretest-posttest design</w:t>
      </w:r>
      <w:r w:rsidRPr="00044E37">
        <w:rPr>
          <w:rFonts w:ascii="Arial" w:hAnsi="Arial" w:cs="Arial"/>
          <w:sz w:val="22"/>
          <w:szCs w:val="22"/>
        </w:rPr>
        <w:t xml:space="preserve">. Penelitian eksperimental semu adalah penelitian yang bertujuan untuk mengetahui hubungan sebab-akibat pada kelompok eksperimen, dengan pemilihan kelompok eksperimen secara tidak acak </w:t>
      </w:r>
      <w:r w:rsidRPr="00044E37">
        <w:rPr>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{"citationItems":[{"id":"ITEM-1","itemData":{"author":[{"dropping-particle":"","family":"Sukardi","given":"","non-dropping-particle":"","parse-names":false,"suffix":""}],"id":"ITEM-1","issued":{"date-parts":[["2003"]]},"publisher":"Bumi Aksara","publisher-place":"Jakarta","title":"Metodologi Penelitian Pendidikan: Kompetensi dan Praktiknya","type":"book"},"uris":["http://www.mendeley.com/documents/?uuid=5a92893b-8e00-4a60-8831-e213b4df0501"]}],"mendeley":{"formattedCitation":"(17)","plainTextFormattedCitation":"(17)","previouslyFormattedCitation":"(17)"},"properties":{"noteIndex":0},"schema":"https://github.com/citation-style-language/schema/raw/master/csl-citation.json"}</w:instrText>
      </w:r>
      <w:r w:rsidRPr="00044E37">
        <w:rPr>
          <w:rFonts w:ascii="Arial" w:hAnsi="Arial" w:cs="Arial"/>
          <w:sz w:val="22"/>
          <w:szCs w:val="22"/>
        </w:rPr>
        <w:fldChar w:fldCharType="separate"/>
      </w:r>
      <w:r w:rsidRPr="00044E37">
        <w:rPr>
          <w:rFonts w:ascii="Arial" w:hAnsi="Arial" w:cs="Arial"/>
          <w:noProof/>
          <w:sz w:val="22"/>
          <w:szCs w:val="22"/>
        </w:rPr>
        <w:t>(17)</w:t>
      </w:r>
      <w:r w:rsidRPr="00044E37">
        <w:rPr>
          <w:rFonts w:ascii="Arial" w:hAnsi="Arial" w:cs="Arial"/>
          <w:sz w:val="22"/>
          <w:szCs w:val="22"/>
        </w:rPr>
        <w:fldChar w:fldCharType="end"/>
      </w:r>
      <w:r w:rsidRPr="00044E37">
        <w:rPr>
          <w:rFonts w:ascii="Arial" w:hAnsi="Arial" w:cs="Arial"/>
          <w:sz w:val="22"/>
          <w:szCs w:val="22"/>
        </w:rPr>
        <w:t xml:space="preserve">. Penelitian telah dilaksanakan selama satu bulan, yaitu pada bulan Maret 2018 – April 2018. Penelitian dilaksanakan di </w:t>
      </w:r>
      <w:r w:rsidRPr="00044E37">
        <w:rPr>
          <w:rFonts w:ascii="Arial" w:hAnsi="Arial" w:cs="Arial"/>
          <w:sz w:val="22"/>
          <w:szCs w:val="22"/>
        </w:rPr>
        <w:lastRenderedPageBreak/>
        <w:t>salah satu</w:t>
      </w:r>
      <w:r w:rsidR="00912404">
        <w:rPr>
          <w:rFonts w:ascii="Arial" w:hAnsi="Arial" w:cs="Arial"/>
          <w:sz w:val="22"/>
          <w:szCs w:val="22"/>
        </w:rPr>
        <w:t xml:space="preserve"> klinik swasta yaitu Klinik Dokter Gigi Keluaga di kota Tanggerang.</w:t>
      </w:r>
      <w:r w:rsidRPr="00044E37">
        <w:rPr>
          <w:rFonts w:ascii="Arial" w:hAnsi="Arial" w:cs="Arial"/>
          <w:sz w:val="22"/>
          <w:szCs w:val="22"/>
        </w:rPr>
        <w:t xml:space="preserve"> Instrumen penelitian yang digunakan adalah indeks kebersihan gigi dan mulut </w:t>
      </w:r>
      <w:r w:rsidR="00912404">
        <w:rPr>
          <w:rFonts w:ascii="Arial" w:hAnsi="Arial" w:cs="Arial"/>
          <w:sz w:val="22"/>
          <w:szCs w:val="22"/>
        </w:rPr>
        <w:t xml:space="preserve">sederhana </w:t>
      </w:r>
      <w:r w:rsidRPr="00044E37">
        <w:rPr>
          <w:rFonts w:ascii="Arial" w:hAnsi="Arial" w:cs="Arial"/>
          <w:sz w:val="22"/>
          <w:szCs w:val="22"/>
        </w:rPr>
        <w:t xml:space="preserve">atau </w:t>
      </w:r>
      <w:r w:rsidRPr="00044E37">
        <w:rPr>
          <w:rFonts w:ascii="Arial" w:hAnsi="Arial" w:cs="Arial"/>
          <w:i/>
          <w:sz w:val="22"/>
          <w:szCs w:val="22"/>
        </w:rPr>
        <w:t>Oral Hygiene Indeks Symplified</w:t>
      </w:r>
      <w:r w:rsidRPr="00044E37">
        <w:rPr>
          <w:rFonts w:ascii="Arial" w:hAnsi="Arial" w:cs="Arial"/>
          <w:sz w:val="22"/>
          <w:szCs w:val="22"/>
        </w:rPr>
        <w:t xml:space="preserve"> (OHI-S)</w:t>
      </w:r>
      <w:r w:rsidR="00912404">
        <w:rPr>
          <w:rFonts w:ascii="Arial" w:hAnsi="Arial" w:cs="Arial"/>
          <w:sz w:val="22"/>
          <w:szCs w:val="22"/>
        </w:rPr>
        <w:t xml:space="preserve"> oleh</w:t>
      </w:r>
      <w:r w:rsidRPr="00044E37">
        <w:rPr>
          <w:rFonts w:ascii="Arial" w:hAnsi="Arial" w:cs="Arial"/>
          <w:sz w:val="22"/>
          <w:szCs w:val="22"/>
        </w:rPr>
        <w:t xml:space="preserve"> Greene dan Vermillion. Sampel penelitian ini adalah orang dewasa baik pria maupun wanita yang berusia 18-2</w:t>
      </w:r>
      <w:r w:rsidR="00912404">
        <w:rPr>
          <w:rFonts w:ascii="Arial" w:hAnsi="Arial" w:cs="Arial"/>
          <w:sz w:val="22"/>
          <w:szCs w:val="22"/>
        </w:rPr>
        <w:t>5 tahun yang datang ke Klinik Dokter Gigi Keluarga</w:t>
      </w:r>
      <w:r>
        <w:rPr>
          <w:rFonts w:ascii="Arial" w:hAnsi="Arial" w:cs="Arial"/>
          <w:sz w:val="22"/>
          <w:szCs w:val="22"/>
        </w:rPr>
        <w:t xml:space="preserve">, Tangerang. </w:t>
      </w:r>
    </w:p>
    <w:p w:rsidR="00013C50"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 xml:space="preserve">Jumlah sampel diperoleh melalui teori limit pusat. Teori limit pusat adalah sebuah teori yang menyatakan bahwa kurva distribusi sampling (untuk ukuran sampel minimal 30 atau lebih) akan berpusat pada nilai parameter populasi dan akan memiliki semua sifat-sifat distribusi normal </w:t>
      </w:r>
      <w:r w:rsidRPr="00044E37">
        <w:rPr>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{"citationItems":[{"id":"ITEM-1","itemData":{"author":[{"dropping-particle":"","family":"Kencana","given":"Nabila","non-dropping-particle":"","parse-names":false,"suffix":""},{"dropping-particle":"","family":"Pratama","given":"I Gusti Ngurah Putra","non-dropping-particle":"","parse-names":false,"suffix":""},{"dropping-particle":"","family":"Maulizar","given":"Rahmat","non-dropping-particle":"","parse-names":false,"suffix":""},{"dropping-particle":"","family":"Wicaksono","given":"Mahardika Eko","non-dropping-particle":"","parse-names":false,"suffix":""},{"dropping-particle":"","family":"Kurniawan","given":"Antonius Dicky","non-dropping-particle":"","parse-names":false,"suffix":""}],"id":"ITEM-1","issued":{"date-parts":[["2013"]]},"publisher":"Fakultas Matematika dan Ilmu Pengetahuan Alam Universitas Gadjah Mada","publisher-place":"Yogyakarta","title":"Sejarah Perkembangan Teorema Limit Pusat \"Pierre-Simon, Marquis De LaPlace\"","type":"book"},"uris":["http://www.mendeley.com/documents/?uuid=54a37f83-e765-4fe6-bcbb-3d994169b618"]}],"mendeley":{"formattedCitation":"(18)","plainTextFormattedCitation":"(18)","previouslyFormattedCitation":"(18)"},"properties":{"noteIndex":0},"schema":"https://github.com/citation-style-language/schema/raw/master/csl-citation.json"}</w:instrText>
      </w:r>
      <w:r w:rsidRPr="00044E37">
        <w:rPr>
          <w:rFonts w:ascii="Arial" w:hAnsi="Arial" w:cs="Arial"/>
          <w:sz w:val="22"/>
          <w:szCs w:val="22"/>
        </w:rPr>
        <w:fldChar w:fldCharType="separate"/>
      </w:r>
      <w:r w:rsidRPr="00044E37">
        <w:rPr>
          <w:rFonts w:ascii="Arial" w:hAnsi="Arial" w:cs="Arial"/>
          <w:noProof/>
          <w:sz w:val="22"/>
          <w:szCs w:val="22"/>
        </w:rPr>
        <w:t>(18)</w:t>
      </w:r>
      <w:r w:rsidRPr="00044E37">
        <w:rPr>
          <w:rFonts w:ascii="Arial" w:hAnsi="Arial" w:cs="Arial"/>
          <w:sz w:val="22"/>
          <w:szCs w:val="22"/>
        </w:rPr>
        <w:fldChar w:fldCharType="end"/>
      </w:r>
      <w:r w:rsidRPr="00044E37">
        <w:rPr>
          <w:rFonts w:ascii="Arial" w:hAnsi="Arial" w:cs="Arial"/>
          <w:sz w:val="22"/>
          <w:szCs w:val="22"/>
        </w:rPr>
        <w:t xml:space="preserve">. Pengambilan sampel dilakukan dengan cara </w:t>
      </w:r>
      <w:proofErr w:type="gramStart"/>
      <w:r w:rsidRPr="00044E37">
        <w:rPr>
          <w:rFonts w:ascii="Arial" w:hAnsi="Arial" w:cs="Arial"/>
          <w:i/>
          <w:sz w:val="22"/>
          <w:szCs w:val="22"/>
        </w:rPr>
        <w:t>non probability</w:t>
      </w:r>
      <w:proofErr w:type="gramEnd"/>
      <w:r w:rsidRPr="00044E37">
        <w:rPr>
          <w:rFonts w:ascii="Arial" w:hAnsi="Arial" w:cs="Arial"/>
          <w:i/>
          <w:sz w:val="22"/>
          <w:szCs w:val="22"/>
        </w:rPr>
        <w:t xml:space="preserve"> sampling</w:t>
      </w:r>
      <w:r w:rsidRPr="00044E37">
        <w:rPr>
          <w:rFonts w:ascii="Arial" w:hAnsi="Arial" w:cs="Arial"/>
          <w:sz w:val="22"/>
          <w:szCs w:val="22"/>
        </w:rPr>
        <w:t xml:space="preserve"> dengan pendekatan </w:t>
      </w:r>
      <w:r w:rsidRPr="00044E37">
        <w:rPr>
          <w:rFonts w:ascii="Arial" w:hAnsi="Arial" w:cs="Arial"/>
          <w:i/>
          <w:sz w:val="22"/>
          <w:szCs w:val="22"/>
        </w:rPr>
        <w:t xml:space="preserve">purposive sampling </w:t>
      </w:r>
      <w:r w:rsidRPr="00044E37">
        <w:rPr>
          <w:rFonts w:ascii="Arial" w:hAnsi="Arial" w:cs="Arial"/>
          <w:sz w:val="22"/>
          <w:szCs w:val="22"/>
        </w:rPr>
        <w:t xml:space="preserve">yaitu dengan memeriksa kondisi umum dan mulut pasien untuk membatasi kritria inklusi maupun kriteria ekslusi pada pasien sebelum dijadikan sampel. Pemeriksaan kebersihan mulut pasien dilakukan dengan menggunakan indeks kebersihan gigi dan mulut atau </w:t>
      </w:r>
      <w:r w:rsidRPr="00044E37">
        <w:rPr>
          <w:rFonts w:ascii="Arial" w:hAnsi="Arial" w:cs="Arial"/>
          <w:i/>
          <w:sz w:val="22"/>
          <w:szCs w:val="22"/>
        </w:rPr>
        <w:t>Oral Hygiene Indeks Symplified</w:t>
      </w:r>
      <w:r>
        <w:rPr>
          <w:rFonts w:ascii="Arial" w:hAnsi="Arial" w:cs="Arial"/>
          <w:sz w:val="22"/>
          <w:szCs w:val="22"/>
        </w:rPr>
        <w:t xml:space="preserve"> (OHI-S).</w:t>
      </w:r>
    </w:p>
    <w:p w:rsidR="00013C50" w:rsidRPr="00044E37"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Pemeriksaan OHI</w:t>
      </w:r>
      <w:r w:rsidR="00912404">
        <w:rPr>
          <w:rFonts w:ascii="Arial" w:hAnsi="Arial" w:cs="Arial"/>
          <w:sz w:val="22"/>
          <w:szCs w:val="22"/>
        </w:rPr>
        <w:t>-S yang dilakukan oleh</w:t>
      </w:r>
      <w:r w:rsidRPr="00044E37">
        <w:rPr>
          <w:rFonts w:ascii="Arial" w:hAnsi="Arial" w:cs="Arial"/>
          <w:sz w:val="22"/>
          <w:szCs w:val="22"/>
        </w:rPr>
        <w:t xml:space="preserve"> G</w:t>
      </w:r>
      <w:r w:rsidR="00912404">
        <w:rPr>
          <w:rFonts w:ascii="Arial" w:hAnsi="Arial" w:cs="Arial"/>
          <w:sz w:val="22"/>
          <w:szCs w:val="22"/>
        </w:rPr>
        <w:t>reene dan</w:t>
      </w:r>
      <w:r w:rsidRPr="00044E37">
        <w:rPr>
          <w:rFonts w:ascii="Arial" w:hAnsi="Arial" w:cs="Arial"/>
          <w:sz w:val="22"/>
          <w:szCs w:val="22"/>
        </w:rPr>
        <w:t xml:space="preserve"> Vermillion menetapk</w:t>
      </w:r>
      <w:r w:rsidR="00912404">
        <w:rPr>
          <w:rFonts w:ascii="Arial" w:hAnsi="Arial" w:cs="Arial"/>
          <w:sz w:val="22"/>
          <w:szCs w:val="22"/>
        </w:rPr>
        <w:t>an gigi indeks yang digunakan ada</w:t>
      </w:r>
      <w:r w:rsidRPr="00044E37">
        <w:rPr>
          <w:rFonts w:ascii="Arial" w:hAnsi="Arial" w:cs="Arial"/>
          <w:sz w:val="22"/>
          <w:szCs w:val="22"/>
        </w:rPr>
        <w:t>lah 4 gigi posterior dan 2 gigi anterior,</w:t>
      </w:r>
      <w:r w:rsidR="00912404">
        <w:rPr>
          <w:rFonts w:ascii="Arial" w:hAnsi="Arial" w:cs="Arial"/>
          <w:sz w:val="22"/>
          <w:szCs w:val="22"/>
        </w:rPr>
        <w:t xml:space="preserve"> dengan kategori indeks penelitiannya yaitu </w:t>
      </w:r>
      <w:r w:rsidRPr="00044E37">
        <w:rPr>
          <w:rFonts w:ascii="Arial" w:hAnsi="Arial" w:cs="Arial"/>
          <w:sz w:val="22"/>
          <w:szCs w:val="22"/>
        </w:rPr>
        <w:t xml:space="preserve">baik (0,0 – 1,2), sedang (1,3 – 3,0), buruk (3,1 – 6,0). Pengolahan data dilakukan secara manual dan diolah dengan </w:t>
      </w:r>
      <w:r w:rsidRPr="00044E37">
        <w:rPr>
          <w:rFonts w:ascii="Arial" w:hAnsi="Arial" w:cs="Arial"/>
          <w:sz w:val="22"/>
          <w:szCs w:val="22"/>
        </w:rPr>
        <w:t xml:space="preserve">menggunakan uji perbandingan, uji normalitas, dan uji wilcoxon. </w:t>
      </w:r>
    </w:p>
    <w:p w:rsidR="0015224E" w:rsidRDefault="0015224E">
      <w:pPr>
        <w:spacing w:line="360" w:lineRule="auto"/>
        <w:jc w:val="both"/>
        <w:rPr>
          <w:rFonts w:ascii="Arial" w:eastAsia="Arial" w:hAnsi="Arial" w:cs="Arial"/>
          <w:b/>
          <w:sz w:val="22"/>
          <w:szCs w:val="22"/>
        </w:rPr>
      </w:pPr>
    </w:p>
    <w:p w:rsidR="0015224E" w:rsidRDefault="0083302C">
      <w:pPr>
        <w:spacing w:line="360" w:lineRule="auto"/>
        <w:jc w:val="both"/>
        <w:rPr>
          <w:rFonts w:ascii="Arial" w:eastAsia="Arial" w:hAnsi="Arial" w:cs="Arial"/>
          <w:b/>
          <w:sz w:val="22"/>
          <w:szCs w:val="22"/>
        </w:rPr>
      </w:pPr>
      <w:r>
        <w:rPr>
          <w:rFonts w:ascii="Arial" w:eastAsia="Arial" w:hAnsi="Arial" w:cs="Arial"/>
          <w:b/>
          <w:sz w:val="22"/>
          <w:szCs w:val="22"/>
        </w:rPr>
        <w:t xml:space="preserve">HASIL PENELITIAN </w:t>
      </w:r>
    </w:p>
    <w:p w:rsidR="00013C50" w:rsidRPr="00044E37" w:rsidRDefault="00013C50" w:rsidP="00013C50">
      <w:pPr>
        <w:spacing w:line="360" w:lineRule="auto"/>
        <w:ind w:firstLine="720"/>
        <w:jc w:val="both"/>
        <w:rPr>
          <w:rFonts w:ascii="Arial" w:eastAsia="Arial" w:hAnsi="Arial" w:cs="Arial"/>
          <w:sz w:val="22"/>
          <w:szCs w:val="22"/>
        </w:rPr>
      </w:pPr>
      <w:r w:rsidRPr="00044E37">
        <w:rPr>
          <w:rFonts w:ascii="Arial" w:eastAsia="Arial" w:hAnsi="Arial" w:cs="Arial"/>
          <w:sz w:val="22"/>
          <w:szCs w:val="22"/>
        </w:rPr>
        <w:t>Subjek penelitian ini adalah orang dewasa baik pria maupun wanita yang berusia 18-25 tahun yang datang ke klinik swasta di kota Tangerang yang telah mengikuti pemeriksaan kondisi umum dan pemeriksaan kebersihan muut melalui indeks OHI-S, yaitu sebanyak 30 responden, dari 30 responden terdapat 19 responden laki-laki (63.3%), dan 11 responden perempuan (36.7%).</w:t>
      </w:r>
    </w:p>
    <w:p w:rsidR="00013C50" w:rsidRPr="00044E37" w:rsidRDefault="00013C50" w:rsidP="00013C50">
      <w:pPr>
        <w:spacing w:line="360" w:lineRule="auto"/>
        <w:jc w:val="both"/>
        <w:rPr>
          <w:rFonts w:ascii="Arial" w:eastAsia="Arial" w:hAnsi="Arial" w:cs="Arial"/>
          <w:sz w:val="22"/>
          <w:szCs w:val="22"/>
        </w:rPr>
      </w:pPr>
    </w:p>
    <w:p w:rsidR="00013C50" w:rsidRPr="00D74917" w:rsidRDefault="00013C50" w:rsidP="00013C50">
      <w:pPr>
        <w:spacing w:line="276" w:lineRule="auto"/>
        <w:jc w:val="center"/>
        <w:rPr>
          <w:rFonts w:ascii="Arial" w:eastAsia="Arial" w:hAnsi="Arial" w:cs="Arial"/>
        </w:rPr>
      </w:pPr>
      <w:r w:rsidRPr="00044E37">
        <w:rPr>
          <w:rFonts w:ascii="Arial" w:eastAsia="Arial" w:hAnsi="Arial" w:cs="Arial"/>
          <w:b/>
        </w:rPr>
        <w:t>Tabel 1</w:t>
      </w:r>
      <w:r w:rsidRPr="00044E37">
        <w:rPr>
          <w:rFonts w:ascii="Arial" w:eastAsia="Arial" w:hAnsi="Arial" w:cs="Arial"/>
        </w:rPr>
        <w:t>. Tabel Responden B</w:t>
      </w:r>
      <w:r>
        <w:rPr>
          <w:rFonts w:ascii="Arial" w:eastAsia="Arial" w:hAnsi="Arial" w:cs="Arial"/>
        </w:rPr>
        <w:t>erdasarkan Karakteristik Pasien</w:t>
      </w:r>
    </w:p>
    <w:tbl>
      <w:tblPr>
        <w:tblW w:w="4377" w:type="dxa"/>
        <w:jc w:val="center"/>
        <w:tblLook w:val="04A0" w:firstRow="1" w:lastRow="0" w:firstColumn="1" w:lastColumn="0" w:noHBand="0" w:noVBand="1"/>
      </w:tblPr>
      <w:tblGrid>
        <w:gridCol w:w="2335"/>
        <w:gridCol w:w="731"/>
        <w:gridCol w:w="1311"/>
      </w:tblGrid>
      <w:tr w:rsidR="00013C50" w:rsidRPr="009C2EAD" w:rsidTr="00D17492">
        <w:trPr>
          <w:trHeight w:val="257"/>
          <w:jc w:val="center"/>
        </w:trPr>
        <w:tc>
          <w:tcPr>
            <w:tcW w:w="2335"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Karakteristik Pasien</w:t>
            </w:r>
          </w:p>
        </w:tc>
        <w:tc>
          <w:tcPr>
            <w:tcW w:w="731"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N</w:t>
            </w:r>
          </w:p>
        </w:tc>
        <w:tc>
          <w:tcPr>
            <w:tcW w:w="1310"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persentase (%)</w:t>
            </w:r>
          </w:p>
        </w:tc>
      </w:tr>
      <w:tr w:rsidR="00013C50" w:rsidRPr="009C2EAD" w:rsidTr="00D17492">
        <w:trPr>
          <w:trHeight w:val="257"/>
          <w:jc w:val="center"/>
        </w:trPr>
        <w:tc>
          <w:tcPr>
            <w:tcW w:w="2335"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Jenis Kelamin</w:t>
            </w:r>
          </w:p>
        </w:tc>
        <w:tc>
          <w:tcPr>
            <w:tcW w:w="731"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c>
          <w:tcPr>
            <w:tcW w:w="1310"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r>
      <w:tr w:rsidR="00013C50" w:rsidRPr="009C2EAD" w:rsidTr="00D17492">
        <w:trPr>
          <w:trHeight w:val="257"/>
          <w:jc w:val="center"/>
        </w:trPr>
        <w:tc>
          <w:tcPr>
            <w:tcW w:w="2335"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Laki-laki</w:t>
            </w:r>
          </w:p>
        </w:tc>
        <w:tc>
          <w:tcPr>
            <w:tcW w:w="731"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19</w:t>
            </w:r>
          </w:p>
        </w:tc>
        <w:tc>
          <w:tcPr>
            <w:tcW w:w="1310"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63.3</w:t>
            </w:r>
          </w:p>
        </w:tc>
      </w:tr>
      <w:tr w:rsidR="00013C50" w:rsidRPr="009C2EAD" w:rsidTr="00D17492">
        <w:trPr>
          <w:trHeight w:val="257"/>
          <w:jc w:val="center"/>
        </w:trPr>
        <w:tc>
          <w:tcPr>
            <w:tcW w:w="2335" w:type="dxa"/>
            <w:tcBorders>
              <w:top w:val="nil"/>
              <w:left w:val="nil"/>
              <w:bottom w:val="single" w:sz="4" w:space="0" w:color="auto"/>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Perempuan</w:t>
            </w:r>
          </w:p>
        </w:tc>
        <w:tc>
          <w:tcPr>
            <w:tcW w:w="731"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11</w:t>
            </w:r>
          </w:p>
        </w:tc>
        <w:tc>
          <w:tcPr>
            <w:tcW w:w="1310"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36.7</w:t>
            </w:r>
          </w:p>
        </w:tc>
      </w:tr>
      <w:tr w:rsidR="00013C50" w:rsidRPr="009C2EAD" w:rsidTr="00D17492">
        <w:trPr>
          <w:trHeight w:val="257"/>
          <w:jc w:val="center"/>
        </w:trPr>
        <w:tc>
          <w:tcPr>
            <w:tcW w:w="2335"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Usia</w:t>
            </w:r>
          </w:p>
        </w:tc>
        <w:tc>
          <w:tcPr>
            <w:tcW w:w="731"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c>
          <w:tcPr>
            <w:tcW w:w="1310"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r>
      <w:tr w:rsidR="00013C50" w:rsidRPr="009C2EAD" w:rsidTr="00D17492">
        <w:trPr>
          <w:trHeight w:val="257"/>
          <w:jc w:val="center"/>
        </w:trPr>
        <w:tc>
          <w:tcPr>
            <w:tcW w:w="2335"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Minimum</w:t>
            </w:r>
          </w:p>
        </w:tc>
        <w:tc>
          <w:tcPr>
            <w:tcW w:w="2042" w:type="dxa"/>
            <w:gridSpan w:val="2"/>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18 Tahun</w:t>
            </w:r>
          </w:p>
        </w:tc>
      </w:tr>
      <w:tr w:rsidR="00013C50" w:rsidRPr="009C2EAD" w:rsidTr="00D17492">
        <w:trPr>
          <w:trHeight w:val="257"/>
          <w:jc w:val="center"/>
        </w:trPr>
        <w:tc>
          <w:tcPr>
            <w:tcW w:w="2335"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Maksimum</w:t>
            </w:r>
          </w:p>
        </w:tc>
        <w:tc>
          <w:tcPr>
            <w:tcW w:w="2042" w:type="dxa"/>
            <w:gridSpan w:val="2"/>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25 Tahun</w:t>
            </w:r>
          </w:p>
        </w:tc>
      </w:tr>
      <w:tr w:rsidR="00013C50" w:rsidRPr="009C2EAD" w:rsidTr="00D17492">
        <w:trPr>
          <w:trHeight w:val="257"/>
          <w:jc w:val="center"/>
        </w:trPr>
        <w:tc>
          <w:tcPr>
            <w:tcW w:w="2335"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Rata-Rata</w:t>
            </w:r>
          </w:p>
        </w:tc>
        <w:tc>
          <w:tcPr>
            <w:tcW w:w="2042" w:type="dxa"/>
            <w:gridSpan w:val="2"/>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20,7 Tahun</w:t>
            </w:r>
          </w:p>
        </w:tc>
      </w:tr>
      <w:tr w:rsidR="00013C50" w:rsidRPr="009C2EAD" w:rsidTr="00D17492">
        <w:trPr>
          <w:trHeight w:val="257"/>
          <w:jc w:val="center"/>
        </w:trPr>
        <w:tc>
          <w:tcPr>
            <w:tcW w:w="2335" w:type="dxa"/>
            <w:tcBorders>
              <w:top w:val="nil"/>
              <w:left w:val="nil"/>
              <w:bottom w:val="single" w:sz="4" w:space="0" w:color="auto"/>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Standar deviasi</w:t>
            </w:r>
          </w:p>
        </w:tc>
        <w:tc>
          <w:tcPr>
            <w:tcW w:w="2042" w:type="dxa"/>
            <w:gridSpan w:val="2"/>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1,66</w:t>
            </w:r>
          </w:p>
        </w:tc>
      </w:tr>
    </w:tbl>
    <w:p w:rsidR="00013C50" w:rsidRPr="00044E37" w:rsidRDefault="00013C50" w:rsidP="00013C50">
      <w:pPr>
        <w:spacing w:line="360" w:lineRule="auto"/>
        <w:jc w:val="both"/>
        <w:rPr>
          <w:rFonts w:ascii="Arial" w:eastAsia="Arial" w:hAnsi="Arial" w:cs="Arial"/>
          <w:b/>
          <w:sz w:val="22"/>
          <w:szCs w:val="22"/>
        </w:rPr>
      </w:pPr>
    </w:p>
    <w:p w:rsidR="00013C50"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 xml:space="preserve">Usia responden paling rendah yaitu </w:t>
      </w:r>
      <w:r w:rsidR="00912404">
        <w:rPr>
          <w:rFonts w:ascii="Arial" w:hAnsi="Arial" w:cs="Arial"/>
          <w:sz w:val="22"/>
          <w:szCs w:val="22"/>
        </w:rPr>
        <w:t xml:space="preserve">berusia </w:t>
      </w:r>
      <w:r w:rsidRPr="00044E37">
        <w:rPr>
          <w:rFonts w:ascii="Arial" w:hAnsi="Arial" w:cs="Arial"/>
          <w:sz w:val="22"/>
          <w:szCs w:val="22"/>
        </w:rPr>
        <w:t>18 tahun, paling tinggi</w:t>
      </w:r>
      <w:r w:rsidR="00912404">
        <w:rPr>
          <w:rFonts w:ascii="Arial" w:hAnsi="Arial" w:cs="Arial"/>
          <w:sz w:val="22"/>
          <w:szCs w:val="22"/>
        </w:rPr>
        <w:t xml:space="preserve"> berusia</w:t>
      </w:r>
      <w:r w:rsidRPr="00044E37">
        <w:rPr>
          <w:rFonts w:ascii="Arial" w:hAnsi="Arial" w:cs="Arial"/>
          <w:sz w:val="22"/>
          <w:szCs w:val="22"/>
        </w:rPr>
        <w:t xml:space="preserve"> 25 tahun, de</w:t>
      </w:r>
      <w:r>
        <w:rPr>
          <w:rFonts w:ascii="Arial" w:hAnsi="Arial" w:cs="Arial"/>
          <w:sz w:val="22"/>
          <w:szCs w:val="22"/>
        </w:rPr>
        <w:t>ngan rata-rata usia 20,7 tahun.</w:t>
      </w:r>
    </w:p>
    <w:p w:rsidR="00013C50" w:rsidRPr="00D74917" w:rsidRDefault="00013C50" w:rsidP="00013C50">
      <w:pPr>
        <w:spacing w:line="360" w:lineRule="auto"/>
        <w:jc w:val="both"/>
        <w:rPr>
          <w:rFonts w:ascii="Arial" w:hAnsi="Arial" w:cs="Arial"/>
          <w:sz w:val="22"/>
          <w:szCs w:val="22"/>
        </w:rPr>
      </w:pPr>
    </w:p>
    <w:p w:rsidR="00013C50" w:rsidRPr="00044E37" w:rsidRDefault="00013C50" w:rsidP="00013C50">
      <w:pPr>
        <w:spacing w:line="276" w:lineRule="auto"/>
        <w:jc w:val="center"/>
        <w:rPr>
          <w:rFonts w:ascii="Arial" w:hAnsi="Arial" w:cs="Arial"/>
          <w:i/>
        </w:rPr>
      </w:pPr>
      <w:r w:rsidRPr="00044E37">
        <w:rPr>
          <w:rFonts w:ascii="Arial" w:hAnsi="Arial" w:cs="Arial"/>
          <w:b/>
        </w:rPr>
        <w:t>Tabel 2</w:t>
      </w:r>
      <w:r w:rsidRPr="00044E37">
        <w:rPr>
          <w:rFonts w:ascii="Arial" w:hAnsi="Arial" w:cs="Arial"/>
        </w:rPr>
        <w:t xml:space="preserve">. Indeks OHI-S </w:t>
      </w:r>
      <w:r w:rsidRPr="00044E37">
        <w:rPr>
          <w:rFonts w:ascii="Arial" w:hAnsi="Arial" w:cs="Arial"/>
          <w:i/>
        </w:rPr>
        <w:t>Pretest</w:t>
      </w:r>
      <w:r w:rsidRPr="00044E37">
        <w:rPr>
          <w:rFonts w:ascii="Arial" w:hAnsi="Arial" w:cs="Arial"/>
        </w:rPr>
        <w:t xml:space="preserve"> dan </w:t>
      </w:r>
      <w:r w:rsidRPr="00044E37">
        <w:rPr>
          <w:rFonts w:ascii="Arial" w:hAnsi="Arial" w:cs="Arial"/>
          <w:i/>
        </w:rPr>
        <w:t>Postest</w:t>
      </w:r>
    </w:p>
    <w:tbl>
      <w:tblPr>
        <w:tblW w:w="3368" w:type="dxa"/>
        <w:jc w:val="center"/>
        <w:tblLook w:val="04A0" w:firstRow="1" w:lastRow="0" w:firstColumn="1" w:lastColumn="0" w:noHBand="0" w:noVBand="1"/>
      </w:tblPr>
      <w:tblGrid>
        <w:gridCol w:w="677"/>
        <w:gridCol w:w="427"/>
        <w:gridCol w:w="824"/>
        <w:gridCol w:w="849"/>
        <w:gridCol w:w="569"/>
        <w:gridCol w:w="807"/>
      </w:tblGrid>
      <w:tr w:rsidR="00013C50" w:rsidRPr="009C2EAD" w:rsidTr="00D17492">
        <w:trPr>
          <w:trHeight w:val="29"/>
          <w:jc w:val="center"/>
        </w:trPr>
        <w:tc>
          <w:tcPr>
            <w:tcW w:w="502"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
                <w:bCs/>
              </w:rPr>
            </w:pPr>
          </w:p>
        </w:tc>
        <w:tc>
          <w:tcPr>
            <w:tcW w:w="502"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
                <w:bCs/>
                <w:i/>
              </w:rPr>
            </w:pPr>
            <w:r w:rsidRPr="009C2EAD">
              <w:rPr>
                <w:b/>
                <w:bCs/>
                <w:i/>
              </w:rPr>
              <w:t>N</w:t>
            </w:r>
          </w:p>
        </w:tc>
        <w:tc>
          <w:tcPr>
            <w:tcW w:w="619"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
                <w:bCs/>
                <w:i/>
              </w:rPr>
            </w:pPr>
            <w:r w:rsidRPr="009C2EAD">
              <w:rPr>
                <w:b/>
                <w:bCs/>
                <w:i/>
              </w:rPr>
              <w:t>Minimum</w:t>
            </w:r>
          </w:p>
        </w:tc>
        <w:tc>
          <w:tcPr>
            <w:tcW w:w="638"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
                <w:bCs/>
                <w:i/>
              </w:rPr>
            </w:pPr>
            <w:r w:rsidRPr="009C2EAD">
              <w:rPr>
                <w:b/>
                <w:bCs/>
                <w:i/>
              </w:rPr>
              <w:t>Maximum</w:t>
            </w:r>
          </w:p>
        </w:tc>
        <w:tc>
          <w:tcPr>
            <w:tcW w:w="502"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
                <w:bCs/>
                <w:i/>
              </w:rPr>
            </w:pPr>
            <w:r w:rsidRPr="009C2EAD">
              <w:rPr>
                <w:b/>
                <w:bCs/>
                <w:i/>
              </w:rPr>
              <w:t>Mean</w:t>
            </w:r>
          </w:p>
        </w:tc>
        <w:tc>
          <w:tcPr>
            <w:tcW w:w="605"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
                <w:bCs/>
                <w:i/>
              </w:rPr>
            </w:pPr>
            <w:r w:rsidRPr="009C2EAD">
              <w:rPr>
                <w:b/>
                <w:bCs/>
                <w:i/>
              </w:rPr>
              <w:t>Std. Deviation</w:t>
            </w:r>
          </w:p>
        </w:tc>
      </w:tr>
      <w:tr w:rsidR="00013C50" w:rsidRPr="009C2EAD" w:rsidTr="00D17492">
        <w:trPr>
          <w:trHeight w:val="29"/>
          <w:jc w:val="center"/>
        </w:trPr>
        <w:tc>
          <w:tcPr>
            <w:tcW w:w="50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Pretest</w:t>
            </w:r>
          </w:p>
        </w:tc>
        <w:tc>
          <w:tcPr>
            <w:tcW w:w="50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30</w:t>
            </w:r>
          </w:p>
        </w:tc>
        <w:tc>
          <w:tcPr>
            <w:tcW w:w="619"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3,17</w:t>
            </w:r>
          </w:p>
        </w:tc>
        <w:tc>
          <w:tcPr>
            <w:tcW w:w="638"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3,50</w:t>
            </w:r>
          </w:p>
        </w:tc>
        <w:tc>
          <w:tcPr>
            <w:tcW w:w="50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3,29</w:t>
            </w:r>
          </w:p>
        </w:tc>
        <w:tc>
          <w:tcPr>
            <w:tcW w:w="605"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0,14</w:t>
            </w:r>
          </w:p>
        </w:tc>
      </w:tr>
      <w:tr w:rsidR="00013C50" w:rsidRPr="009C2EAD" w:rsidTr="00D17492">
        <w:trPr>
          <w:trHeight w:val="29"/>
          <w:jc w:val="center"/>
        </w:trPr>
        <w:tc>
          <w:tcPr>
            <w:tcW w:w="50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Posttest</w:t>
            </w:r>
          </w:p>
        </w:tc>
        <w:tc>
          <w:tcPr>
            <w:tcW w:w="50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30</w:t>
            </w:r>
          </w:p>
        </w:tc>
        <w:tc>
          <w:tcPr>
            <w:tcW w:w="619"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0,33</w:t>
            </w:r>
          </w:p>
        </w:tc>
        <w:tc>
          <w:tcPr>
            <w:tcW w:w="638"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2,83</w:t>
            </w:r>
          </w:p>
        </w:tc>
        <w:tc>
          <w:tcPr>
            <w:tcW w:w="50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0,82</w:t>
            </w:r>
          </w:p>
        </w:tc>
        <w:tc>
          <w:tcPr>
            <w:tcW w:w="605"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pPr>
            <w:r w:rsidRPr="009C2EAD">
              <w:t>0,47</w:t>
            </w:r>
          </w:p>
        </w:tc>
      </w:tr>
    </w:tbl>
    <w:p w:rsidR="00013C50" w:rsidRPr="00044E37" w:rsidRDefault="00013C50" w:rsidP="00013C50">
      <w:pPr>
        <w:spacing w:line="360" w:lineRule="auto"/>
        <w:jc w:val="both"/>
        <w:rPr>
          <w:rFonts w:ascii="Arial" w:hAnsi="Arial" w:cs="Arial"/>
          <w:sz w:val="24"/>
          <w:szCs w:val="24"/>
        </w:rPr>
      </w:pPr>
    </w:p>
    <w:p w:rsidR="00013C50" w:rsidRDefault="00013C50" w:rsidP="00013C50">
      <w:pPr>
        <w:spacing w:line="360" w:lineRule="auto"/>
        <w:ind w:firstLine="720"/>
        <w:jc w:val="both"/>
        <w:rPr>
          <w:rFonts w:ascii="Arial" w:hAnsi="Arial" w:cs="Arial"/>
          <w:sz w:val="22"/>
          <w:szCs w:val="22"/>
        </w:rPr>
      </w:pPr>
      <w:r w:rsidRPr="00044E37">
        <w:rPr>
          <w:rFonts w:ascii="Arial" w:hAnsi="Arial" w:cs="Arial"/>
          <w:sz w:val="22"/>
          <w:szCs w:val="22"/>
        </w:rPr>
        <w:t xml:space="preserve">Berdasarkan tabel di atas, dari 30 sampel yang di uji sebelum diberi </w:t>
      </w:r>
      <w:r w:rsidRPr="00044E37">
        <w:rPr>
          <w:rFonts w:ascii="Arial" w:hAnsi="Arial" w:cs="Arial"/>
          <w:sz w:val="22"/>
          <w:szCs w:val="22"/>
        </w:rPr>
        <w:lastRenderedPageBreak/>
        <w:t>perlakuan indeks OHI-S minimumnya 3,17 maksimumnya 3,50, rata-ratanya 3,29, dengan standar deviasi sebesar 0,14.</w:t>
      </w:r>
      <w:r w:rsidR="00912404">
        <w:rPr>
          <w:rFonts w:ascii="Arial" w:hAnsi="Arial" w:cs="Arial"/>
          <w:sz w:val="22"/>
          <w:szCs w:val="22"/>
        </w:rPr>
        <w:t xml:space="preserve"> </w:t>
      </w:r>
      <w:r w:rsidRPr="00044E37">
        <w:rPr>
          <w:rFonts w:ascii="Arial" w:hAnsi="Arial" w:cs="Arial"/>
          <w:sz w:val="22"/>
          <w:szCs w:val="22"/>
        </w:rPr>
        <w:t>Sementara setelah diberi perlakuan</w:t>
      </w:r>
      <w:r w:rsidR="00912404">
        <w:rPr>
          <w:rFonts w:ascii="Arial" w:hAnsi="Arial" w:cs="Arial"/>
          <w:sz w:val="22"/>
          <w:szCs w:val="22"/>
        </w:rPr>
        <w:t xml:space="preserve"> dental hipnosis,</w:t>
      </w:r>
      <w:r w:rsidRPr="00044E37">
        <w:rPr>
          <w:rFonts w:ascii="Arial" w:hAnsi="Arial" w:cs="Arial"/>
          <w:sz w:val="22"/>
          <w:szCs w:val="22"/>
        </w:rPr>
        <w:t xml:space="preserve"> indeks OHI-S minimumnya berubah menjadi 0,33, maksimumnya 2,83, rata-ratanya 0,82, dengan standar deviasi sebesar 0,47.</w:t>
      </w:r>
    </w:p>
    <w:p w:rsidR="00013C50" w:rsidRDefault="00013C50" w:rsidP="00013C50">
      <w:pPr>
        <w:spacing w:line="360" w:lineRule="auto"/>
        <w:rPr>
          <w:rFonts w:ascii="Arial" w:hAnsi="Arial" w:cs="Arial"/>
          <w:sz w:val="22"/>
          <w:szCs w:val="22"/>
        </w:rPr>
      </w:pPr>
    </w:p>
    <w:p w:rsidR="00013C50" w:rsidRPr="00044E37" w:rsidRDefault="00013C50" w:rsidP="00013C50">
      <w:pPr>
        <w:spacing w:line="276" w:lineRule="auto"/>
        <w:jc w:val="center"/>
        <w:rPr>
          <w:rFonts w:ascii="Arial" w:eastAsia="Arial" w:hAnsi="Arial" w:cs="Arial"/>
        </w:rPr>
      </w:pPr>
      <w:r w:rsidRPr="00044E37">
        <w:rPr>
          <w:rFonts w:ascii="Arial" w:eastAsia="Arial" w:hAnsi="Arial" w:cs="Arial"/>
          <w:b/>
        </w:rPr>
        <w:t>Tabel 3</w:t>
      </w:r>
      <w:r w:rsidRPr="00044E37">
        <w:rPr>
          <w:rFonts w:ascii="Arial" w:eastAsia="Arial" w:hAnsi="Arial" w:cs="Arial"/>
        </w:rPr>
        <w:t>. Uji Normalitas Data</w:t>
      </w:r>
    </w:p>
    <w:tbl>
      <w:tblPr>
        <w:tblW w:w="3293" w:type="dxa"/>
        <w:jc w:val="center"/>
        <w:tblLook w:val="04A0" w:firstRow="1" w:lastRow="0" w:firstColumn="1" w:lastColumn="0" w:noHBand="0" w:noVBand="1"/>
      </w:tblPr>
      <w:tblGrid>
        <w:gridCol w:w="1106"/>
        <w:gridCol w:w="990"/>
        <w:gridCol w:w="646"/>
        <w:gridCol w:w="756"/>
      </w:tblGrid>
      <w:tr w:rsidR="00013C50" w:rsidRPr="009C2EAD" w:rsidTr="00D17492">
        <w:trPr>
          <w:trHeight w:val="263"/>
          <w:jc w:val="center"/>
        </w:trPr>
        <w:tc>
          <w:tcPr>
            <w:tcW w:w="1106" w:type="dxa"/>
            <w:vMerge w:val="restart"/>
            <w:tcBorders>
              <w:top w:val="single" w:sz="4" w:space="0" w:color="auto"/>
              <w:left w:val="nil"/>
              <w:right w:val="nil"/>
            </w:tcBorders>
            <w:shd w:val="clear" w:color="auto" w:fill="auto"/>
            <w:noWrap/>
            <w:vAlign w:val="center"/>
            <w:hideMark/>
          </w:tcPr>
          <w:p w:rsidR="00013C50" w:rsidRPr="009C2EAD" w:rsidRDefault="00013C50" w:rsidP="00D17492">
            <w:pPr>
              <w:jc w:val="center"/>
              <w:rPr>
                <w:bCs/>
                <w:sz w:val="24"/>
              </w:rPr>
            </w:pPr>
          </w:p>
          <w:p w:rsidR="00013C50" w:rsidRPr="009C2EAD" w:rsidRDefault="00013C50" w:rsidP="00D17492">
            <w:pPr>
              <w:jc w:val="center"/>
              <w:rPr>
                <w:bCs/>
                <w:sz w:val="24"/>
              </w:rPr>
            </w:pPr>
            <w:r w:rsidRPr="009C2EAD">
              <w:rPr>
                <w:bCs/>
                <w:sz w:val="24"/>
              </w:rPr>
              <w:t> </w:t>
            </w:r>
          </w:p>
        </w:tc>
        <w:tc>
          <w:tcPr>
            <w:tcW w:w="2187" w:type="dxa"/>
            <w:gridSpan w:val="3"/>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Cs/>
                <w:i/>
                <w:sz w:val="24"/>
              </w:rPr>
            </w:pPr>
            <w:r w:rsidRPr="009C2EAD">
              <w:rPr>
                <w:bCs/>
                <w:i/>
                <w:sz w:val="24"/>
              </w:rPr>
              <w:t>Shapiro-Wilk</w:t>
            </w:r>
          </w:p>
        </w:tc>
      </w:tr>
      <w:tr w:rsidR="00013C50" w:rsidRPr="009C2EAD" w:rsidTr="00D17492">
        <w:trPr>
          <w:trHeight w:val="263"/>
          <w:jc w:val="center"/>
        </w:trPr>
        <w:tc>
          <w:tcPr>
            <w:tcW w:w="1106" w:type="dxa"/>
            <w:vMerge/>
            <w:tcBorders>
              <w:left w:val="nil"/>
              <w:bottom w:val="single" w:sz="4" w:space="0" w:color="auto"/>
              <w:right w:val="nil"/>
            </w:tcBorders>
            <w:shd w:val="clear" w:color="auto" w:fill="auto"/>
            <w:noWrap/>
            <w:vAlign w:val="center"/>
            <w:hideMark/>
          </w:tcPr>
          <w:p w:rsidR="00013C50" w:rsidRPr="009C2EAD" w:rsidRDefault="00013C50" w:rsidP="00D17492">
            <w:pPr>
              <w:jc w:val="center"/>
              <w:rPr>
                <w:bCs/>
                <w:sz w:val="24"/>
              </w:rPr>
            </w:pPr>
          </w:p>
        </w:tc>
        <w:tc>
          <w:tcPr>
            <w:tcW w:w="90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bCs/>
                <w:i/>
                <w:sz w:val="24"/>
              </w:rPr>
            </w:pPr>
            <w:r w:rsidRPr="009C2EAD">
              <w:rPr>
                <w:bCs/>
                <w:i/>
                <w:sz w:val="24"/>
              </w:rPr>
              <w:t>Statistic</w:t>
            </w:r>
          </w:p>
        </w:tc>
        <w:tc>
          <w:tcPr>
            <w:tcW w:w="64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bCs/>
                <w:i/>
                <w:sz w:val="24"/>
              </w:rPr>
            </w:pPr>
            <w:r w:rsidRPr="009C2EAD">
              <w:rPr>
                <w:bCs/>
                <w:i/>
                <w:sz w:val="24"/>
              </w:rPr>
              <w:t>df</w:t>
            </w:r>
          </w:p>
        </w:tc>
        <w:tc>
          <w:tcPr>
            <w:tcW w:w="633"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bCs/>
                <w:sz w:val="24"/>
              </w:rPr>
            </w:pPr>
            <w:r w:rsidRPr="009C2EAD">
              <w:rPr>
                <w:bCs/>
                <w:i/>
                <w:sz w:val="24"/>
              </w:rPr>
              <w:t>p-value</w:t>
            </w:r>
          </w:p>
        </w:tc>
      </w:tr>
      <w:tr w:rsidR="00013C50" w:rsidRPr="009C2EAD" w:rsidTr="00D17492">
        <w:trPr>
          <w:trHeight w:val="263"/>
          <w:jc w:val="center"/>
        </w:trPr>
        <w:tc>
          <w:tcPr>
            <w:tcW w:w="110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Pretest</w:t>
            </w:r>
          </w:p>
        </w:tc>
        <w:tc>
          <w:tcPr>
            <w:tcW w:w="90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0,754</w:t>
            </w:r>
          </w:p>
        </w:tc>
        <w:tc>
          <w:tcPr>
            <w:tcW w:w="64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30</w:t>
            </w:r>
          </w:p>
        </w:tc>
        <w:tc>
          <w:tcPr>
            <w:tcW w:w="633"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0,000</w:t>
            </w:r>
          </w:p>
        </w:tc>
      </w:tr>
      <w:tr w:rsidR="00013C50" w:rsidRPr="009C2EAD" w:rsidTr="00D17492">
        <w:trPr>
          <w:trHeight w:val="263"/>
          <w:jc w:val="center"/>
        </w:trPr>
        <w:tc>
          <w:tcPr>
            <w:tcW w:w="110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Postest</w:t>
            </w:r>
          </w:p>
        </w:tc>
        <w:tc>
          <w:tcPr>
            <w:tcW w:w="90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0,696</w:t>
            </w:r>
          </w:p>
        </w:tc>
        <w:tc>
          <w:tcPr>
            <w:tcW w:w="646"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30</w:t>
            </w:r>
          </w:p>
        </w:tc>
        <w:tc>
          <w:tcPr>
            <w:tcW w:w="633"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rPr>
            </w:pPr>
            <w:r w:rsidRPr="009C2EAD">
              <w:rPr>
                <w:sz w:val="24"/>
              </w:rPr>
              <w:t>0,000</w:t>
            </w:r>
          </w:p>
        </w:tc>
      </w:tr>
    </w:tbl>
    <w:p w:rsidR="00013C50" w:rsidRPr="00044E37" w:rsidRDefault="00013C50" w:rsidP="00013C50">
      <w:pPr>
        <w:spacing w:line="360" w:lineRule="auto"/>
        <w:jc w:val="both"/>
        <w:rPr>
          <w:rFonts w:ascii="Arial" w:eastAsia="Arial" w:hAnsi="Arial" w:cs="Arial"/>
          <w:sz w:val="22"/>
          <w:szCs w:val="22"/>
        </w:rPr>
      </w:pPr>
    </w:p>
    <w:p w:rsidR="00013C50" w:rsidRDefault="00013C50" w:rsidP="00013C50">
      <w:pPr>
        <w:pStyle w:val="ListParagraph"/>
        <w:spacing w:line="360" w:lineRule="auto"/>
        <w:ind w:left="0" w:firstLine="720"/>
        <w:jc w:val="both"/>
        <w:rPr>
          <w:rFonts w:ascii="Arial" w:hAnsi="Arial" w:cs="Arial"/>
          <w:sz w:val="22"/>
          <w:szCs w:val="22"/>
          <w:lang w:val="en-US"/>
        </w:rPr>
      </w:pPr>
      <w:r w:rsidRPr="00044E37">
        <w:rPr>
          <w:rFonts w:ascii="Arial" w:hAnsi="Arial" w:cs="Arial"/>
          <w:sz w:val="22"/>
          <w:szCs w:val="22"/>
        </w:rPr>
        <w:t xml:space="preserve">Berdasarkan tabel di atas, </w:t>
      </w:r>
      <w:r w:rsidRPr="00044E37">
        <w:rPr>
          <w:rFonts w:ascii="Arial" w:hAnsi="Arial" w:cs="Arial"/>
          <w:sz w:val="22"/>
          <w:szCs w:val="22"/>
          <w:lang w:val="en-US"/>
        </w:rPr>
        <w:t xml:space="preserve">sebelum  dan setelah perlakuan </w:t>
      </w:r>
      <w:r w:rsidRPr="00044E37">
        <w:rPr>
          <w:rFonts w:ascii="Arial" w:hAnsi="Arial" w:cs="Arial"/>
          <w:sz w:val="22"/>
          <w:szCs w:val="22"/>
        </w:rPr>
        <w:t xml:space="preserve">nilai </w:t>
      </w:r>
      <w:r w:rsidRPr="00044E37">
        <w:rPr>
          <w:rFonts w:ascii="Arial" w:hAnsi="Arial" w:cs="Arial"/>
          <w:i/>
          <w:sz w:val="22"/>
          <w:szCs w:val="22"/>
        </w:rPr>
        <w:t>p-value</w:t>
      </w:r>
      <w:r w:rsidRPr="00044E37">
        <w:rPr>
          <w:rFonts w:ascii="Arial" w:hAnsi="Arial" w:cs="Arial"/>
          <w:sz w:val="22"/>
          <w:szCs w:val="22"/>
        </w:rPr>
        <w:t xml:space="preserve"> nya lebih </w:t>
      </w:r>
      <w:r w:rsidRPr="00044E37">
        <w:rPr>
          <w:rFonts w:ascii="Arial" w:hAnsi="Arial" w:cs="Arial"/>
          <w:sz w:val="22"/>
          <w:szCs w:val="22"/>
          <w:lang w:val="en-US"/>
        </w:rPr>
        <w:t>kecil</w:t>
      </w:r>
      <w:r w:rsidRPr="00044E37">
        <w:rPr>
          <w:rFonts w:ascii="Arial" w:hAnsi="Arial" w:cs="Arial"/>
          <w:sz w:val="22"/>
          <w:szCs w:val="22"/>
        </w:rPr>
        <w:t xml:space="preserve"> dari 0,05 artinya data </w:t>
      </w:r>
      <w:r w:rsidRPr="00044E37">
        <w:rPr>
          <w:rFonts w:ascii="Arial" w:hAnsi="Arial" w:cs="Arial"/>
          <w:sz w:val="22"/>
          <w:szCs w:val="22"/>
          <w:lang w:val="en-US"/>
        </w:rPr>
        <w:t>pada sebelum dan setelah perlakuan memiliki distribusi data yang tidak normal</w:t>
      </w:r>
      <w:r w:rsidRPr="00044E37">
        <w:rPr>
          <w:rFonts w:ascii="Arial" w:hAnsi="Arial" w:cs="Arial"/>
          <w:sz w:val="22"/>
          <w:szCs w:val="22"/>
        </w:rPr>
        <w:t>.</w:t>
      </w:r>
      <w:r w:rsidRPr="00044E37">
        <w:rPr>
          <w:rFonts w:ascii="Arial" w:hAnsi="Arial" w:cs="Arial"/>
          <w:sz w:val="22"/>
          <w:szCs w:val="22"/>
          <w:lang w:val="en-US"/>
        </w:rPr>
        <w:t xml:space="preserve"> Karena data tidak memiliki distribusi data yang normal maka uji perbandingan menggunakan uji w</w:t>
      </w:r>
      <w:r w:rsidRPr="00044E37">
        <w:rPr>
          <w:rFonts w:ascii="Arial" w:hAnsi="Arial" w:cs="Arial"/>
          <w:i/>
          <w:sz w:val="22"/>
          <w:szCs w:val="22"/>
          <w:lang w:val="en-US"/>
        </w:rPr>
        <w:t>ilcoxon</w:t>
      </w:r>
      <w:r w:rsidRPr="00044E37">
        <w:rPr>
          <w:rFonts w:ascii="Arial" w:hAnsi="Arial" w:cs="Arial"/>
          <w:sz w:val="22"/>
          <w:szCs w:val="22"/>
          <w:lang w:val="en-US"/>
        </w:rPr>
        <w:t>.</w:t>
      </w:r>
    </w:p>
    <w:p w:rsidR="00013C50" w:rsidRPr="00044E37" w:rsidRDefault="00013C50" w:rsidP="00013C50">
      <w:pPr>
        <w:pStyle w:val="ListParagraph"/>
        <w:spacing w:line="360" w:lineRule="auto"/>
        <w:ind w:left="0" w:firstLine="720"/>
        <w:jc w:val="both"/>
        <w:rPr>
          <w:rFonts w:ascii="Arial" w:hAnsi="Arial" w:cs="Arial"/>
          <w:sz w:val="22"/>
          <w:szCs w:val="22"/>
          <w:lang w:val="en-US"/>
        </w:rPr>
      </w:pPr>
    </w:p>
    <w:p w:rsidR="00013C50" w:rsidRPr="00845102" w:rsidRDefault="00013C50" w:rsidP="00013C50">
      <w:pPr>
        <w:spacing w:line="276" w:lineRule="auto"/>
        <w:jc w:val="center"/>
        <w:rPr>
          <w:rFonts w:ascii="Arial" w:eastAsia="Arial" w:hAnsi="Arial" w:cs="Arial"/>
        </w:rPr>
      </w:pPr>
      <w:r w:rsidRPr="00845102">
        <w:rPr>
          <w:rFonts w:ascii="Arial" w:eastAsia="Arial" w:hAnsi="Arial" w:cs="Arial"/>
          <w:b/>
        </w:rPr>
        <w:t>Tabel 4.</w:t>
      </w:r>
      <w:r w:rsidRPr="00845102">
        <w:rPr>
          <w:rFonts w:ascii="Arial" w:eastAsia="Arial" w:hAnsi="Arial" w:cs="Arial"/>
        </w:rPr>
        <w:t xml:space="preserve"> </w:t>
      </w:r>
      <w:r w:rsidRPr="00845102">
        <w:rPr>
          <w:rFonts w:ascii="Arial" w:hAnsi="Arial" w:cs="Arial"/>
        </w:rPr>
        <w:t>Uji Perbandingan Indeks OHI-S Pretest dan Postest</w:t>
      </w:r>
    </w:p>
    <w:tbl>
      <w:tblPr>
        <w:tblW w:w="5325" w:type="dxa"/>
        <w:jc w:val="center"/>
        <w:tblLook w:val="04A0" w:firstRow="1" w:lastRow="0" w:firstColumn="1" w:lastColumn="0" w:noHBand="0" w:noVBand="1"/>
      </w:tblPr>
      <w:tblGrid>
        <w:gridCol w:w="1345"/>
        <w:gridCol w:w="1357"/>
        <w:gridCol w:w="896"/>
        <w:gridCol w:w="1727"/>
      </w:tblGrid>
      <w:tr w:rsidR="00013C50" w:rsidRPr="009C2EAD" w:rsidTr="00D17492">
        <w:trPr>
          <w:trHeight w:val="257"/>
          <w:jc w:val="center"/>
        </w:trPr>
        <w:tc>
          <w:tcPr>
            <w:tcW w:w="1345"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rPr>
                <w:bCs/>
                <w:sz w:val="24"/>
                <w:szCs w:val="24"/>
              </w:rPr>
            </w:pPr>
          </w:p>
        </w:tc>
        <w:tc>
          <w:tcPr>
            <w:tcW w:w="1357"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Cs/>
                <w:sz w:val="24"/>
                <w:szCs w:val="24"/>
              </w:rPr>
            </w:pPr>
            <w:r w:rsidRPr="009C2EAD">
              <w:rPr>
                <w:bCs/>
                <w:sz w:val="24"/>
                <w:szCs w:val="24"/>
              </w:rPr>
              <w:t xml:space="preserve">Rerata (SD) </w:t>
            </w:r>
          </w:p>
        </w:tc>
        <w:tc>
          <w:tcPr>
            <w:tcW w:w="896"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Cs/>
                <w:i/>
                <w:sz w:val="24"/>
                <w:szCs w:val="24"/>
              </w:rPr>
            </w:pPr>
            <w:r w:rsidRPr="009C2EAD">
              <w:rPr>
                <w:bCs/>
                <w:i/>
                <w:sz w:val="24"/>
                <w:szCs w:val="24"/>
              </w:rPr>
              <w:t>p-value</w:t>
            </w:r>
          </w:p>
        </w:tc>
        <w:tc>
          <w:tcPr>
            <w:tcW w:w="1727"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bCs/>
                <w:sz w:val="24"/>
                <w:szCs w:val="24"/>
              </w:rPr>
            </w:pPr>
            <w:r w:rsidRPr="009C2EAD">
              <w:rPr>
                <w:bCs/>
                <w:sz w:val="24"/>
                <w:szCs w:val="24"/>
              </w:rPr>
              <w:t>Kesimpulan</w:t>
            </w:r>
          </w:p>
        </w:tc>
      </w:tr>
      <w:tr w:rsidR="00013C50" w:rsidRPr="009C2EAD" w:rsidTr="00D17492">
        <w:trPr>
          <w:trHeight w:val="257"/>
          <w:jc w:val="center"/>
        </w:trPr>
        <w:tc>
          <w:tcPr>
            <w:tcW w:w="1345"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Pretest</w:t>
            </w:r>
          </w:p>
        </w:tc>
        <w:tc>
          <w:tcPr>
            <w:tcW w:w="1357"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3,29 (0,14)</w:t>
            </w:r>
          </w:p>
        </w:tc>
        <w:tc>
          <w:tcPr>
            <w:tcW w:w="896" w:type="dxa"/>
            <w:vMerge w:val="restart"/>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0,000*</w:t>
            </w:r>
          </w:p>
        </w:tc>
        <w:tc>
          <w:tcPr>
            <w:tcW w:w="1727" w:type="dxa"/>
            <w:vMerge w:val="restart"/>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terdapat perbedaan</w:t>
            </w:r>
          </w:p>
        </w:tc>
      </w:tr>
      <w:tr w:rsidR="00013C50" w:rsidRPr="009C2EAD" w:rsidTr="00D17492">
        <w:trPr>
          <w:trHeight w:val="257"/>
          <w:jc w:val="center"/>
        </w:trPr>
        <w:tc>
          <w:tcPr>
            <w:tcW w:w="1345"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Postest</w:t>
            </w:r>
          </w:p>
        </w:tc>
        <w:tc>
          <w:tcPr>
            <w:tcW w:w="1357"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0,82 (0,47)</w:t>
            </w:r>
          </w:p>
        </w:tc>
        <w:tc>
          <w:tcPr>
            <w:tcW w:w="896" w:type="dxa"/>
            <w:vMerge/>
            <w:tcBorders>
              <w:top w:val="nil"/>
              <w:left w:val="nil"/>
              <w:bottom w:val="single" w:sz="4" w:space="0" w:color="auto"/>
              <w:right w:val="nil"/>
            </w:tcBorders>
            <w:vAlign w:val="center"/>
            <w:hideMark/>
          </w:tcPr>
          <w:p w:rsidR="00013C50" w:rsidRPr="009C2EAD" w:rsidRDefault="00013C50" w:rsidP="00D17492">
            <w:pPr>
              <w:rPr>
                <w:sz w:val="24"/>
                <w:szCs w:val="24"/>
              </w:rPr>
            </w:pPr>
          </w:p>
        </w:tc>
        <w:tc>
          <w:tcPr>
            <w:tcW w:w="1727" w:type="dxa"/>
            <w:vMerge/>
            <w:tcBorders>
              <w:top w:val="nil"/>
              <w:left w:val="nil"/>
              <w:bottom w:val="single" w:sz="4" w:space="0" w:color="auto"/>
              <w:right w:val="nil"/>
            </w:tcBorders>
            <w:vAlign w:val="center"/>
            <w:hideMark/>
          </w:tcPr>
          <w:p w:rsidR="00013C50" w:rsidRPr="009C2EAD" w:rsidRDefault="00013C50" w:rsidP="00D17492">
            <w:pPr>
              <w:rPr>
                <w:sz w:val="24"/>
                <w:szCs w:val="24"/>
              </w:rPr>
            </w:pPr>
          </w:p>
        </w:tc>
      </w:tr>
    </w:tbl>
    <w:p w:rsidR="00013C50" w:rsidRPr="00044E37" w:rsidRDefault="00013C50" w:rsidP="00013C50">
      <w:pPr>
        <w:spacing w:line="360" w:lineRule="auto"/>
        <w:jc w:val="both"/>
        <w:rPr>
          <w:rFonts w:ascii="Arial" w:eastAsia="Arial" w:hAnsi="Arial" w:cs="Arial"/>
          <w:sz w:val="22"/>
          <w:szCs w:val="22"/>
        </w:rPr>
      </w:pPr>
    </w:p>
    <w:p w:rsidR="00013C50" w:rsidRDefault="00013C50" w:rsidP="003104E2">
      <w:pPr>
        <w:spacing w:line="360" w:lineRule="auto"/>
        <w:ind w:firstLine="720"/>
        <w:jc w:val="both"/>
        <w:rPr>
          <w:rFonts w:ascii="Arial" w:hAnsi="Arial" w:cs="Arial"/>
          <w:sz w:val="22"/>
          <w:szCs w:val="22"/>
        </w:rPr>
      </w:pPr>
      <w:r w:rsidRPr="00044E37">
        <w:rPr>
          <w:rFonts w:ascii="Arial" w:hAnsi="Arial" w:cs="Arial"/>
          <w:sz w:val="22"/>
          <w:szCs w:val="22"/>
        </w:rPr>
        <w:t xml:space="preserve">Berdasarkan tabel di atas </w:t>
      </w:r>
      <w:proofErr w:type="gramStart"/>
      <w:r w:rsidRPr="00044E37">
        <w:rPr>
          <w:rFonts w:ascii="Arial" w:hAnsi="Arial" w:cs="Arial"/>
          <w:sz w:val="22"/>
          <w:szCs w:val="22"/>
        </w:rPr>
        <w:t>hasil  uji</w:t>
      </w:r>
      <w:proofErr w:type="gramEnd"/>
      <w:r w:rsidRPr="00044E37">
        <w:rPr>
          <w:rFonts w:ascii="Arial" w:hAnsi="Arial" w:cs="Arial"/>
          <w:sz w:val="22"/>
          <w:szCs w:val="22"/>
        </w:rPr>
        <w:t xml:space="preserve"> perbandingan indeks OHI-S sebelum dan setelah diberi pelakuan menunjukkan nilai </w:t>
      </w:r>
      <w:r w:rsidRPr="00044E37">
        <w:rPr>
          <w:rFonts w:ascii="Arial" w:hAnsi="Arial" w:cs="Arial"/>
          <w:i/>
          <w:sz w:val="22"/>
          <w:szCs w:val="22"/>
        </w:rPr>
        <w:t>p-value</w:t>
      </w:r>
      <w:r w:rsidRPr="00044E37">
        <w:rPr>
          <w:rFonts w:ascii="Arial" w:hAnsi="Arial" w:cs="Arial"/>
          <w:sz w:val="22"/>
          <w:szCs w:val="22"/>
        </w:rPr>
        <w:t xml:space="preserve"> sebesar 0,000. Karena nilai </w:t>
      </w:r>
      <w:r w:rsidRPr="00044E37">
        <w:rPr>
          <w:rFonts w:ascii="Arial" w:hAnsi="Arial" w:cs="Arial"/>
          <w:i/>
          <w:sz w:val="22"/>
          <w:szCs w:val="22"/>
        </w:rPr>
        <w:t>p-value</w:t>
      </w:r>
      <w:r w:rsidRPr="00044E37">
        <w:rPr>
          <w:rFonts w:ascii="Arial" w:hAnsi="Arial" w:cs="Arial"/>
          <w:sz w:val="22"/>
          <w:szCs w:val="22"/>
        </w:rPr>
        <w:t xml:space="preserve"> (0,000) &lt; 0,05 artinya terdapat perbedaan indeks OHI-S antara sebelum dan setelah diberi menerima perawatan dental hipnosis pa</w:t>
      </w:r>
      <w:r w:rsidR="00A95F79">
        <w:rPr>
          <w:rFonts w:ascii="Arial" w:hAnsi="Arial" w:cs="Arial"/>
          <w:sz w:val="22"/>
          <w:szCs w:val="22"/>
        </w:rPr>
        <w:t xml:space="preserve">da orang dewasa di </w:t>
      </w:r>
      <w:r w:rsidR="00A95F79">
        <w:rPr>
          <w:rFonts w:ascii="Arial" w:hAnsi="Arial" w:cs="Arial"/>
          <w:sz w:val="22"/>
          <w:szCs w:val="22"/>
        </w:rPr>
        <w:t>Klinik Dokter Gigi Keluarga kota</w:t>
      </w:r>
      <w:r w:rsidRPr="00044E37">
        <w:rPr>
          <w:rFonts w:ascii="Arial" w:hAnsi="Arial" w:cs="Arial"/>
          <w:sz w:val="22"/>
          <w:szCs w:val="22"/>
        </w:rPr>
        <w:t xml:space="preserve"> Tangerang yang menjalankan praktik dental hipnosis.</w:t>
      </w:r>
    </w:p>
    <w:p w:rsidR="003104E2" w:rsidRPr="00871308" w:rsidRDefault="003104E2" w:rsidP="003104E2">
      <w:pPr>
        <w:spacing w:line="360" w:lineRule="auto"/>
        <w:ind w:firstLine="720"/>
        <w:jc w:val="both"/>
        <w:rPr>
          <w:rFonts w:ascii="Arial" w:hAnsi="Arial" w:cs="Arial"/>
          <w:sz w:val="22"/>
          <w:szCs w:val="22"/>
        </w:rPr>
      </w:pPr>
    </w:p>
    <w:p w:rsidR="00013C50" w:rsidRPr="00845102" w:rsidRDefault="00013C50" w:rsidP="00013C50">
      <w:pPr>
        <w:spacing w:line="276" w:lineRule="auto"/>
        <w:jc w:val="center"/>
        <w:rPr>
          <w:rFonts w:ascii="Arial" w:eastAsia="Arial" w:hAnsi="Arial" w:cs="Arial"/>
        </w:rPr>
      </w:pPr>
      <w:r w:rsidRPr="00845102">
        <w:rPr>
          <w:rFonts w:ascii="Arial" w:eastAsia="Arial" w:hAnsi="Arial" w:cs="Arial"/>
          <w:b/>
        </w:rPr>
        <w:t>Tabel 5</w:t>
      </w:r>
      <w:r w:rsidRPr="00845102">
        <w:rPr>
          <w:rFonts w:ascii="Arial" w:eastAsia="Arial" w:hAnsi="Arial" w:cs="Arial"/>
        </w:rPr>
        <w:t>. Kategori Perubahan Indeks OHI-S</w:t>
      </w:r>
    </w:p>
    <w:tbl>
      <w:tblPr>
        <w:tblW w:w="4633" w:type="dxa"/>
        <w:jc w:val="center"/>
        <w:tblLook w:val="04A0" w:firstRow="1" w:lastRow="0" w:firstColumn="1" w:lastColumn="0" w:noHBand="0" w:noVBand="1"/>
      </w:tblPr>
      <w:tblGrid>
        <w:gridCol w:w="2536"/>
        <w:gridCol w:w="805"/>
        <w:gridCol w:w="1292"/>
      </w:tblGrid>
      <w:tr w:rsidR="00013C50" w:rsidRPr="009C2EAD" w:rsidTr="003104E2">
        <w:trPr>
          <w:trHeight w:val="215"/>
          <w:jc w:val="center"/>
        </w:trPr>
        <w:tc>
          <w:tcPr>
            <w:tcW w:w="2536"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Kategori OHI-S</w:t>
            </w:r>
          </w:p>
        </w:tc>
        <w:tc>
          <w:tcPr>
            <w:tcW w:w="805"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n</w:t>
            </w:r>
          </w:p>
        </w:tc>
        <w:tc>
          <w:tcPr>
            <w:tcW w:w="1292" w:type="dxa"/>
            <w:tcBorders>
              <w:top w:val="single" w:sz="4" w:space="0" w:color="auto"/>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persentase (%)</w:t>
            </w:r>
          </w:p>
        </w:tc>
      </w:tr>
      <w:tr w:rsidR="00013C50" w:rsidRPr="009C2EAD" w:rsidTr="003104E2">
        <w:trPr>
          <w:trHeight w:val="215"/>
          <w:jc w:val="center"/>
        </w:trPr>
        <w:tc>
          <w:tcPr>
            <w:tcW w:w="2536"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Sebelum Perlakuan</w:t>
            </w:r>
          </w:p>
        </w:tc>
        <w:tc>
          <w:tcPr>
            <w:tcW w:w="805"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c>
          <w:tcPr>
            <w:tcW w:w="1292"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r>
      <w:tr w:rsidR="00013C50" w:rsidRPr="009C2EAD" w:rsidTr="003104E2">
        <w:trPr>
          <w:trHeight w:val="215"/>
          <w:jc w:val="center"/>
        </w:trPr>
        <w:tc>
          <w:tcPr>
            <w:tcW w:w="2536"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Baik</w:t>
            </w:r>
          </w:p>
        </w:tc>
        <w:tc>
          <w:tcPr>
            <w:tcW w:w="805"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w:t>
            </w:r>
          </w:p>
        </w:tc>
        <w:tc>
          <w:tcPr>
            <w:tcW w:w="1292"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0,0</w:t>
            </w:r>
          </w:p>
        </w:tc>
      </w:tr>
      <w:tr w:rsidR="00013C50" w:rsidRPr="009C2EAD" w:rsidTr="003104E2">
        <w:trPr>
          <w:trHeight w:val="215"/>
          <w:jc w:val="center"/>
        </w:trPr>
        <w:tc>
          <w:tcPr>
            <w:tcW w:w="2536"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Sedang</w:t>
            </w:r>
          </w:p>
        </w:tc>
        <w:tc>
          <w:tcPr>
            <w:tcW w:w="805"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w:t>
            </w:r>
          </w:p>
        </w:tc>
        <w:tc>
          <w:tcPr>
            <w:tcW w:w="1292"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0,0</w:t>
            </w:r>
          </w:p>
        </w:tc>
      </w:tr>
      <w:tr w:rsidR="00013C50" w:rsidRPr="009C2EAD" w:rsidTr="003104E2">
        <w:trPr>
          <w:trHeight w:val="215"/>
          <w:jc w:val="center"/>
        </w:trPr>
        <w:tc>
          <w:tcPr>
            <w:tcW w:w="2536"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Buruk</w:t>
            </w:r>
          </w:p>
        </w:tc>
        <w:tc>
          <w:tcPr>
            <w:tcW w:w="805"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30</w:t>
            </w:r>
          </w:p>
        </w:tc>
        <w:tc>
          <w:tcPr>
            <w:tcW w:w="1292"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100</w:t>
            </w:r>
          </w:p>
        </w:tc>
      </w:tr>
      <w:tr w:rsidR="00013C50" w:rsidRPr="009C2EAD" w:rsidTr="003104E2">
        <w:trPr>
          <w:trHeight w:val="215"/>
          <w:jc w:val="center"/>
        </w:trPr>
        <w:tc>
          <w:tcPr>
            <w:tcW w:w="2536" w:type="dxa"/>
            <w:tcBorders>
              <w:top w:val="single" w:sz="4" w:space="0" w:color="auto"/>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Setelah Perlakuan</w:t>
            </w:r>
          </w:p>
        </w:tc>
        <w:tc>
          <w:tcPr>
            <w:tcW w:w="805" w:type="dxa"/>
            <w:tcBorders>
              <w:top w:val="single" w:sz="4" w:space="0" w:color="auto"/>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c>
          <w:tcPr>
            <w:tcW w:w="1292" w:type="dxa"/>
            <w:tcBorders>
              <w:top w:val="single" w:sz="4" w:space="0" w:color="auto"/>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 </w:t>
            </w:r>
          </w:p>
        </w:tc>
      </w:tr>
      <w:tr w:rsidR="00013C50" w:rsidRPr="009C2EAD" w:rsidTr="003104E2">
        <w:trPr>
          <w:trHeight w:val="215"/>
          <w:jc w:val="center"/>
        </w:trPr>
        <w:tc>
          <w:tcPr>
            <w:tcW w:w="2536"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Baik</w:t>
            </w:r>
          </w:p>
        </w:tc>
        <w:tc>
          <w:tcPr>
            <w:tcW w:w="805"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28</w:t>
            </w:r>
          </w:p>
        </w:tc>
        <w:tc>
          <w:tcPr>
            <w:tcW w:w="1292"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93,3</w:t>
            </w:r>
          </w:p>
        </w:tc>
      </w:tr>
      <w:tr w:rsidR="00013C50" w:rsidRPr="009C2EAD" w:rsidTr="003104E2">
        <w:trPr>
          <w:trHeight w:val="215"/>
          <w:jc w:val="center"/>
        </w:trPr>
        <w:tc>
          <w:tcPr>
            <w:tcW w:w="2536" w:type="dxa"/>
            <w:tcBorders>
              <w:top w:val="nil"/>
              <w:left w:val="nil"/>
              <w:bottom w:val="nil"/>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Sedang</w:t>
            </w:r>
          </w:p>
        </w:tc>
        <w:tc>
          <w:tcPr>
            <w:tcW w:w="805"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2</w:t>
            </w:r>
          </w:p>
        </w:tc>
        <w:tc>
          <w:tcPr>
            <w:tcW w:w="1292" w:type="dxa"/>
            <w:tcBorders>
              <w:top w:val="nil"/>
              <w:left w:val="nil"/>
              <w:bottom w:val="nil"/>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6,7</w:t>
            </w:r>
          </w:p>
        </w:tc>
      </w:tr>
      <w:tr w:rsidR="00013C50" w:rsidRPr="009C2EAD" w:rsidTr="003104E2">
        <w:trPr>
          <w:trHeight w:val="215"/>
          <w:jc w:val="center"/>
        </w:trPr>
        <w:tc>
          <w:tcPr>
            <w:tcW w:w="2536" w:type="dxa"/>
            <w:tcBorders>
              <w:top w:val="nil"/>
              <w:left w:val="nil"/>
              <w:bottom w:val="single" w:sz="4" w:space="0" w:color="auto"/>
              <w:right w:val="nil"/>
            </w:tcBorders>
            <w:shd w:val="clear" w:color="auto" w:fill="auto"/>
            <w:noWrap/>
            <w:vAlign w:val="center"/>
            <w:hideMark/>
          </w:tcPr>
          <w:p w:rsidR="00013C50" w:rsidRPr="009C2EAD" w:rsidRDefault="00013C50" w:rsidP="00D17492">
            <w:pPr>
              <w:rPr>
                <w:sz w:val="24"/>
                <w:szCs w:val="24"/>
              </w:rPr>
            </w:pPr>
            <w:r w:rsidRPr="009C2EAD">
              <w:rPr>
                <w:sz w:val="24"/>
                <w:szCs w:val="24"/>
              </w:rPr>
              <w:t xml:space="preserve">          Buruk</w:t>
            </w:r>
          </w:p>
        </w:tc>
        <w:tc>
          <w:tcPr>
            <w:tcW w:w="805"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w:t>
            </w:r>
          </w:p>
        </w:tc>
        <w:tc>
          <w:tcPr>
            <w:tcW w:w="1292" w:type="dxa"/>
            <w:tcBorders>
              <w:top w:val="nil"/>
              <w:left w:val="nil"/>
              <w:bottom w:val="single" w:sz="4" w:space="0" w:color="auto"/>
              <w:right w:val="nil"/>
            </w:tcBorders>
            <w:shd w:val="clear" w:color="auto" w:fill="auto"/>
            <w:noWrap/>
            <w:vAlign w:val="center"/>
            <w:hideMark/>
          </w:tcPr>
          <w:p w:rsidR="00013C50" w:rsidRPr="009C2EAD" w:rsidRDefault="00013C50" w:rsidP="00D17492">
            <w:pPr>
              <w:jc w:val="center"/>
              <w:rPr>
                <w:sz w:val="24"/>
                <w:szCs w:val="24"/>
              </w:rPr>
            </w:pPr>
            <w:r w:rsidRPr="009C2EAD">
              <w:rPr>
                <w:sz w:val="24"/>
                <w:szCs w:val="24"/>
              </w:rPr>
              <w:t>0,0</w:t>
            </w:r>
          </w:p>
        </w:tc>
      </w:tr>
    </w:tbl>
    <w:p w:rsidR="00013C50" w:rsidRDefault="00013C50" w:rsidP="00013C50">
      <w:pPr>
        <w:pStyle w:val="NoSpacing"/>
        <w:spacing w:line="360" w:lineRule="auto"/>
        <w:jc w:val="both"/>
        <w:rPr>
          <w:rFonts w:ascii="Arial" w:eastAsia="Arial" w:hAnsi="Arial" w:cs="Arial"/>
          <w:color w:val="000000"/>
          <w:lang w:val="en-US" w:eastAsia="en-US"/>
        </w:rPr>
      </w:pPr>
    </w:p>
    <w:p w:rsidR="00013C50" w:rsidRDefault="00013C50" w:rsidP="00013C50">
      <w:pPr>
        <w:pStyle w:val="NoSpacing"/>
        <w:spacing w:line="360" w:lineRule="auto"/>
        <w:ind w:firstLine="720"/>
        <w:jc w:val="both"/>
        <w:rPr>
          <w:rFonts w:ascii="Arial" w:hAnsi="Arial" w:cs="Arial"/>
          <w:lang w:val="en-US"/>
        </w:rPr>
      </w:pPr>
      <w:r w:rsidRPr="00044E37">
        <w:rPr>
          <w:rFonts w:ascii="Arial" w:hAnsi="Arial" w:cs="Arial"/>
          <w:lang w:val="en-US"/>
        </w:rPr>
        <w:t>Ha</w:t>
      </w:r>
      <w:r>
        <w:rPr>
          <w:rFonts w:ascii="Arial" w:hAnsi="Arial" w:cs="Arial"/>
          <w:lang w:val="en-US"/>
        </w:rPr>
        <w:t xml:space="preserve">sil </w:t>
      </w:r>
      <w:r w:rsidRPr="00044E37">
        <w:rPr>
          <w:rFonts w:ascii="Arial" w:hAnsi="Arial" w:cs="Arial"/>
          <w:lang w:val="en-US"/>
        </w:rPr>
        <w:t>perhitungan menunjukkan bahwa sebelum diberi</w:t>
      </w:r>
      <w:r w:rsidR="00912404">
        <w:rPr>
          <w:rFonts w:ascii="Arial" w:hAnsi="Arial" w:cs="Arial"/>
          <w:lang w:val="en-US"/>
        </w:rPr>
        <w:t xml:space="preserve"> perawatan</w:t>
      </w:r>
      <w:r w:rsidRPr="00044E37">
        <w:rPr>
          <w:rFonts w:ascii="Arial" w:hAnsi="Arial" w:cs="Arial"/>
          <w:lang w:val="en-US"/>
        </w:rPr>
        <w:t xml:space="preserve"> dental hipnosis tingkat kebersihan mulut pada pasien dewasa dari 30 sampel seluruhnya berada pada kategori buruk</w:t>
      </w:r>
      <w:r w:rsidR="00912404">
        <w:rPr>
          <w:rFonts w:ascii="Arial" w:hAnsi="Arial" w:cs="Arial"/>
          <w:lang w:val="en-US"/>
        </w:rPr>
        <w:t xml:space="preserve"> (3,1 – 6,0)</w:t>
      </w:r>
      <w:r w:rsidRPr="00044E37">
        <w:rPr>
          <w:rFonts w:ascii="Arial" w:hAnsi="Arial" w:cs="Arial"/>
          <w:lang w:val="en-US"/>
        </w:rPr>
        <w:t>. Sementara setelah diberikan dental hipnosis tingkat kebersihan mulut berubah menjadi baik</w:t>
      </w:r>
      <w:r w:rsidR="00912404">
        <w:rPr>
          <w:rFonts w:ascii="Arial" w:hAnsi="Arial" w:cs="Arial"/>
          <w:lang w:val="en-US"/>
        </w:rPr>
        <w:t xml:space="preserve"> (0,0 – 1,2)</w:t>
      </w:r>
      <w:r w:rsidRPr="00044E37">
        <w:rPr>
          <w:rFonts w:ascii="Arial" w:hAnsi="Arial" w:cs="Arial"/>
          <w:lang w:val="en-US"/>
        </w:rPr>
        <w:t xml:space="preserve"> sebesar 93,3% dan </w:t>
      </w:r>
      <w:proofErr w:type="gramStart"/>
      <w:r w:rsidRPr="00044E37">
        <w:rPr>
          <w:rFonts w:ascii="Arial" w:hAnsi="Arial" w:cs="Arial"/>
          <w:lang w:val="en-US"/>
        </w:rPr>
        <w:t>sedang</w:t>
      </w:r>
      <w:r w:rsidR="00912404">
        <w:rPr>
          <w:rFonts w:ascii="Arial" w:hAnsi="Arial" w:cs="Arial"/>
          <w:lang w:val="en-US"/>
        </w:rPr>
        <w:t>(</w:t>
      </w:r>
      <w:proofErr w:type="gramEnd"/>
      <w:r w:rsidR="00912404">
        <w:rPr>
          <w:rFonts w:ascii="Arial" w:hAnsi="Arial" w:cs="Arial"/>
          <w:lang w:val="en-US"/>
        </w:rPr>
        <w:t>1,3 – 3,0)</w:t>
      </w:r>
      <w:r w:rsidRPr="00044E37">
        <w:rPr>
          <w:rFonts w:ascii="Arial" w:hAnsi="Arial" w:cs="Arial"/>
          <w:lang w:val="en-US"/>
        </w:rPr>
        <w:t xml:space="preserve"> sebesar 6,7%, sehingga tidak ada lagi yang termasuk dalam kategori buruk.</w:t>
      </w:r>
    </w:p>
    <w:p w:rsidR="00013C50" w:rsidRDefault="00013C50" w:rsidP="00013C50">
      <w:pPr>
        <w:pStyle w:val="NoSpacing"/>
        <w:spacing w:line="360" w:lineRule="auto"/>
        <w:jc w:val="both"/>
        <w:rPr>
          <w:rFonts w:ascii="Arial" w:hAnsi="Arial" w:cs="Arial"/>
          <w:lang w:val="en-US"/>
        </w:rPr>
      </w:pPr>
    </w:p>
    <w:p w:rsidR="0015224E" w:rsidRPr="00013C50" w:rsidRDefault="0083302C" w:rsidP="00013C50">
      <w:pPr>
        <w:pStyle w:val="NoSpacing"/>
        <w:spacing w:line="360" w:lineRule="auto"/>
        <w:jc w:val="both"/>
        <w:rPr>
          <w:rFonts w:ascii="Arial" w:hAnsi="Arial" w:cs="Arial"/>
          <w:lang w:val="en-US"/>
        </w:rPr>
      </w:pPr>
      <w:r>
        <w:rPr>
          <w:rFonts w:ascii="Arial" w:eastAsia="Arial" w:hAnsi="Arial" w:cs="Arial"/>
          <w:b/>
          <w:color w:val="000000"/>
        </w:rPr>
        <w:t>PEMBAHASAN</w:t>
      </w:r>
    </w:p>
    <w:p w:rsidR="0026285B" w:rsidRPr="00044E37" w:rsidRDefault="0026285B" w:rsidP="0026285B">
      <w:pPr>
        <w:spacing w:line="360" w:lineRule="auto"/>
        <w:ind w:firstLine="720"/>
        <w:jc w:val="both"/>
        <w:rPr>
          <w:rFonts w:ascii="Arial" w:eastAsia="Arial" w:hAnsi="Arial" w:cs="Arial"/>
          <w:sz w:val="22"/>
          <w:szCs w:val="22"/>
        </w:rPr>
      </w:pPr>
      <w:r w:rsidRPr="00044E37">
        <w:rPr>
          <w:rFonts w:ascii="Arial" w:eastAsia="Arial" w:hAnsi="Arial" w:cs="Arial"/>
          <w:sz w:val="22"/>
          <w:szCs w:val="22"/>
        </w:rPr>
        <w:t xml:space="preserve">Penelitian ini melibatkan 30 orang pasien yang bersedia turut serta untuk menjadi responden dalam penelitian dengan 19 orang laki-laki ikut terlibat (63.3%), dan responden perempuan sebanyak 11 orang (36.7%). Penelitian ini juga melibatkan orang dewasa berusia 18-25 tahun dengan rata-rata usia yang terlibat adalah 20.7 tahun. Pasien sebelum diikutsertakan untuk terlibat dalam penelitian ini telah melalui tahapan </w:t>
      </w:r>
      <w:r w:rsidRPr="00044E37">
        <w:rPr>
          <w:rFonts w:ascii="Arial" w:eastAsia="Arial" w:hAnsi="Arial" w:cs="Arial"/>
          <w:sz w:val="22"/>
          <w:szCs w:val="22"/>
        </w:rPr>
        <w:lastRenderedPageBreak/>
        <w:t xml:space="preserve">pemeriksaan kondisi umum dan kebersihan mulut melalui pemeriksaan indeks kebersihan mulut </w:t>
      </w:r>
      <w:r w:rsidRPr="00044E37">
        <w:rPr>
          <w:rFonts w:ascii="Arial" w:eastAsia="Arial" w:hAnsi="Arial" w:cs="Arial"/>
          <w:i/>
          <w:sz w:val="22"/>
          <w:szCs w:val="22"/>
        </w:rPr>
        <w:t>Oral Hygiene Index Simplified</w:t>
      </w:r>
      <w:r w:rsidRPr="00044E37">
        <w:rPr>
          <w:rFonts w:ascii="Arial" w:eastAsia="Arial" w:hAnsi="Arial" w:cs="Arial"/>
          <w:sz w:val="22"/>
          <w:szCs w:val="22"/>
        </w:rPr>
        <w:t xml:space="preserve"> (OHI-S) Gre</w:t>
      </w:r>
      <w:r w:rsidR="00A95F79">
        <w:rPr>
          <w:rFonts w:ascii="Arial" w:eastAsia="Arial" w:hAnsi="Arial" w:cs="Arial"/>
          <w:sz w:val="22"/>
          <w:szCs w:val="22"/>
        </w:rPr>
        <w:t xml:space="preserve">ene dan Vermillion. Pasien </w:t>
      </w:r>
      <w:r w:rsidRPr="00044E37">
        <w:rPr>
          <w:rFonts w:ascii="Arial" w:eastAsia="Arial" w:hAnsi="Arial" w:cs="Arial"/>
          <w:sz w:val="22"/>
          <w:szCs w:val="22"/>
        </w:rPr>
        <w:t>sebelumnya telah dijelaskan mengenai prosedur penelitian yang akan dilakukan mulai dari tahapan pemeriksaan pertama kebersihan mulut sampai pemeriksaan lanjutan, termasuk prosedur dental hipnosis yang akan dijalani. Pasien</w:t>
      </w:r>
      <w:r w:rsidR="00A95F79">
        <w:rPr>
          <w:rFonts w:ascii="Arial" w:eastAsia="Arial" w:hAnsi="Arial" w:cs="Arial"/>
          <w:sz w:val="22"/>
          <w:szCs w:val="22"/>
        </w:rPr>
        <w:t xml:space="preserve"> </w:t>
      </w:r>
      <w:r w:rsidR="00A95F79" w:rsidRPr="00044E37">
        <w:rPr>
          <w:rFonts w:ascii="Arial" w:eastAsia="Arial" w:hAnsi="Arial" w:cs="Arial"/>
          <w:sz w:val="22"/>
          <w:szCs w:val="22"/>
        </w:rPr>
        <w:t>bersedia untuk mengikuti kegiatan penelitian ini secara penuh</w:t>
      </w:r>
      <w:r w:rsidR="00A95F79">
        <w:rPr>
          <w:rFonts w:ascii="Arial" w:eastAsia="Arial" w:hAnsi="Arial" w:cs="Arial"/>
          <w:sz w:val="22"/>
          <w:szCs w:val="22"/>
        </w:rPr>
        <w:t xml:space="preserve"> dengan menyetujui</w:t>
      </w:r>
      <w:r w:rsidRPr="00044E37">
        <w:rPr>
          <w:rFonts w:ascii="Arial" w:eastAsia="Arial" w:hAnsi="Arial" w:cs="Arial"/>
          <w:sz w:val="22"/>
          <w:szCs w:val="22"/>
        </w:rPr>
        <w:t xml:space="preserve"> persetujuan baik secara tertulis (</w:t>
      </w:r>
      <w:r w:rsidRPr="00044E37">
        <w:rPr>
          <w:rFonts w:ascii="Arial" w:eastAsia="Arial" w:hAnsi="Arial" w:cs="Arial"/>
          <w:i/>
          <w:sz w:val="22"/>
          <w:szCs w:val="22"/>
        </w:rPr>
        <w:t>informed consent)</w:t>
      </w:r>
      <w:r w:rsidR="00A95F79">
        <w:rPr>
          <w:rFonts w:ascii="Arial" w:eastAsia="Arial" w:hAnsi="Arial" w:cs="Arial"/>
          <w:sz w:val="22"/>
          <w:szCs w:val="22"/>
        </w:rPr>
        <w:t xml:space="preserve"> maupun tidak tertulis</w:t>
      </w:r>
      <w:r w:rsidRPr="00044E37">
        <w:rPr>
          <w:rFonts w:ascii="Arial" w:eastAsia="Arial" w:hAnsi="Arial" w:cs="Arial"/>
          <w:sz w:val="22"/>
          <w:szCs w:val="22"/>
        </w:rPr>
        <w:t>.</w:t>
      </w:r>
    </w:p>
    <w:p w:rsidR="0026285B" w:rsidRPr="00044E37" w:rsidRDefault="0026285B" w:rsidP="0026285B">
      <w:pPr>
        <w:tabs>
          <w:tab w:val="left" w:pos="1095"/>
        </w:tabs>
        <w:spacing w:line="360" w:lineRule="auto"/>
        <w:jc w:val="both"/>
        <w:rPr>
          <w:rFonts w:ascii="Arial" w:eastAsia="Arial" w:hAnsi="Arial" w:cs="Arial"/>
          <w:sz w:val="22"/>
          <w:szCs w:val="22"/>
        </w:rPr>
      </w:pPr>
      <w:r w:rsidRPr="00044E37">
        <w:rPr>
          <w:rFonts w:ascii="Arial" w:eastAsia="Arial" w:hAnsi="Arial" w:cs="Arial"/>
          <w:sz w:val="22"/>
          <w:szCs w:val="22"/>
        </w:rPr>
        <w:tab/>
        <w:t xml:space="preserve">Dari hasil penelitian yang dilakukan untuk mengukur kebersihan mulut sebelum dan sesudah menerima perawatan dental hipnosis, didapati bahwa terdapat penurunan indeks OHI-S rata-rata yaitu dari 3.29 (lihat tabel 2) menuju 0.82 (lihat tabel 2). Perubahan ini menandakan bahwa telah terjadi perubahan indeks OHI-S rata-rata pada pasien dewasa dari yang awalnya buruk menjadi baik setelah menerima perawatan dental hipnosis. Hal ini sesuai dengan pandangan yang menyatakan bahwa  dental hipnosis dapat digunakan untuk mengubah kebiasaan dan pikiran lama seseorang yang buruk dan menanamkan kebiasaan dan pikiran baru yang positif pada seseorang sehingga berguna bagi kehidupan orang tersebut </w:t>
      </w:r>
      <w:r w:rsidRPr="00044E37">
        <w:rPr>
          <w:rFonts w:ascii="Arial" w:eastAsia="Arial" w:hAnsi="Arial" w:cs="Arial"/>
          <w:sz w:val="22"/>
          <w:szCs w:val="22"/>
        </w:rPr>
        <w:fldChar w:fldCharType="begin" w:fldLock="1"/>
      </w:r>
      <w:r w:rsidR="00717FDE">
        <w:rPr>
          <w:rFonts w:ascii="Arial" w:eastAsia="Arial" w:hAnsi="Arial" w:cs="Arial"/>
          <w:sz w:val="22"/>
          <w:szCs w:val="22"/>
        </w:rPr>
        <w:instrText>ADDIN CSL_CITATION {"citationItems":[{"id":"ITEM-1","itemData":{"author":[{"dropping-particle":"","family":"Rizali","given":"Ervin","non-dropping-particle":"","parse-names":false,"suffix":""}],"id":"ITEM-1","issued":{"date-parts":[["2017"]]},"publisher":"M9 Publishers Jakarta","publisher-place":"Jakarta","title":"Hypnodontic dalam Perspektif Fisiologis","type":"book"},"uris":["http://www.mendeley.com/documents/?uuid=cd7f125f-01ba-4666-8588-17adf7f075dd"]}],"mendeley":{"formattedCitation":"(14)","plainTextFormattedCitation":"(14)","previouslyFormattedCitation":"(14)"},"properties":{"noteIndex":0},"schema":"https://github.com/citation-style-language/schema/raw/master/csl-citation.json"}</w:instrText>
      </w:r>
      <w:r w:rsidRPr="00044E37">
        <w:rPr>
          <w:rFonts w:ascii="Arial" w:eastAsia="Arial" w:hAnsi="Arial" w:cs="Arial"/>
          <w:sz w:val="22"/>
          <w:szCs w:val="22"/>
        </w:rPr>
        <w:fldChar w:fldCharType="separate"/>
      </w:r>
      <w:r w:rsidRPr="00044E37">
        <w:rPr>
          <w:rFonts w:ascii="Arial" w:eastAsia="Arial" w:hAnsi="Arial" w:cs="Arial"/>
          <w:noProof/>
          <w:sz w:val="22"/>
          <w:szCs w:val="22"/>
        </w:rPr>
        <w:t>(14)</w:t>
      </w:r>
      <w:r w:rsidRPr="00044E37">
        <w:rPr>
          <w:rFonts w:ascii="Arial" w:eastAsia="Arial" w:hAnsi="Arial" w:cs="Arial"/>
          <w:sz w:val="22"/>
          <w:szCs w:val="22"/>
        </w:rPr>
        <w:fldChar w:fldCharType="end"/>
      </w:r>
      <w:r w:rsidRPr="00044E37">
        <w:rPr>
          <w:rFonts w:ascii="Arial" w:eastAsia="Arial" w:hAnsi="Arial" w:cs="Arial"/>
          <w:sz w:val="22"/>
          <w:szCs w:val="22"/>
        </w:rPr>
        <w:t>.</w:t>
      </w:r>
    </w:p>
    <w:p w:rsidR="0026285B" w:rsidRPr="00044E37" w:rsidRDefault="0026285B" w:rsidP="0026285B">
      <w:pPr>
        <w:tabs>
          <w:tab w:val="left" w:pos="1095"/>
        </w:tabs>
        <w:spacing w:line="360" w:lineRule="auto"/>
        <w:jc w:val="both"/>
        <w:rPr>
          <w:rFonts w:ascii="Arial" w:eastAsia="Arial" w:hAnsi="Arial" w:cs="Arial"/>
          <w:sz w:val="22"/>
          <w:szCs w:val="22"/>
        </w:rPr>
      </w:pPr>
      <w:r w:rsidRPr="00044E37">
        <w:rPr>
          <w:rFonts w:ascii="Arial" w:eastAsia="Arial" w:hAnsi="Arial" w:cs="Arial"/>
          <w:sz w:val="22"/>
          <w:szCs w:val="22"/>
        </w:rPr>
        <w:tab/>
        <w:t xml:space="preserve">Dalam penelitian ini, sebanyak 28 (93.3%) orang berhasil mengalami penurunan indeks kebersihan mulut dari </w:t>
      </w:r>
      <w:r w:rsidRPr="00044E37">
        <w:rPr>
          <w:rFonts w:ascii="Arial" w:eastAsia="Arial" w:hAnsi="Arial" w:cs="Arial"/>
          <w:sz w:val="22"/>
          <w:szCs w:val="22"/>
        </w:rPr>
        <w:t>yang buruk menjadi baik, dan sebanyak 2 orang (6.7%) yang mengalami penurunan indeks kebersihan mulut dari buruk menjadi sedang. Melihat kondisi ini, pasien yang mengalami penurunan indeks kebersihan mulut dari</w:t>
      </w:r>
      <w:r w:rsidR="00A95F79">
        <w:rPr>
          <w:rFonts w:ascii="Arial" w:eastAsia="Arial" w:hAnsi="Arial" w:cs="Arial"/>
          <w:sz w:val="22"/>
          <w:szCs w:val="22"/>
        </w:rPr>
        <w:t xml:space="preserve"> kategori</w:t>
      </w:r>
      <w:r w:rsidRPr="00044E37">
        <w:rPr>
          <w:rFonts w:ascii="Arial" w:eastAsia="Arial" w:hAnsi="Arial" w:cs="Arial"/>
          <w:sz w:val="22"/>
          <w:szCs w:val="22"/>
        </w:rPr>
        <w:t xml:space="preserve"> yang buruk menjadi baik menunjukkan bahwa pasien tersebut memahami dengan baik pesan atau sugesti yang disampaikan</w:t>
      </w:r>
      <w:r w:rsidR="00A95F79">
        <w:rPr>
          <w:rFonts w:ascii="Arial" w:eastAsia="Arial" w:hAnsi="Arial" w:cs="Arial"/>
          <w:sz w:val="22"/>
          <w:szCs w:val="22"/>
        </w:rPr>
        <w:t xml:space="preserve"> oleh operator</w:t>
      </w:r>
      <w:r w:rsidRPr="00044E37">
        <w:rPr>
          <w:rFonts w:ascii="Arial" w:eastAsia="Arial" w:hAnsi="Arial" w:cs="Arial"/>
          <w:sz w:val="22"/>
          <w:szCs w:val="22"/>
        </w:rPr>
        <w:t xml:space="preserve"> melalui perawatan hipnosis yang terjadi, sedangkan pasien yang mengalami penurunan indeks kebersihan mulut dari </w:t>
      </w:r>
      <w:r w:rsidR="00A95F79">
        <w:rPr>
          <w:rFonts w:ascii="Arial" w:eastAsia="Arial" w:hAnsi="Arial" w:cs="Arial"/>
          <w:sz w:val="22"/>
          <w:szCs w:val="22"/>
        </w:rPr>
        <w:t xml:space="preserve">kategori yang </w:t>
      </w:r>
      <w:r w:rsidRPr="00044E37">
        <w:rPr>
          <w:rFonts w:ascii="Arial" w:eastAsia="Arial" w:hAnsi="Arial" w:cs="Arial"/>
          <w:sz w:val="22"/>
          <w:szCs w:val="22"/>
        </w:rPr>
        <w:t>buruk ke sedang menunjukkan bahwa pasien tersebut belum bisa menerima</w:t>
      </w:r>
      <w:r w:rsidR="00A95F79">
        <w:rPr>
          <w:rFonts w:ascii="Arial" w:eastAsia="Arial" w:hAnsi="Arial" w:cs="Arial"/>
          <w:sz w:val="22"/>
          <w:szCs w:val="22"/>
        </w:rPr>
        <w:t xml:space="preserve"> dan memahami</w:t>
      </w:r>
      <w:r w:rsidRPr="00044E37">
        <w:rPr>
          <w:rFonts w:ascii="Arial" w:eastAsia="Arial" w:hAnsi="Arial" w:cs="Arial"/>
          <w:sz w:val="22"/>
          <w:szCs w:val="22"/>
        </w:rPr>
        <w:t xml:space="preserve"> pesan atau sugesti yang disampaikan oleh operator. Hal ini bisa disebabkan oleh karena pesan atau sugesti tersebut kurang dipahami dengan baik oleh pasien atau bahkan pesan atau sugesti yang disampaikan bertentangan dengan norma atau kepercayaan yang dianut oleh pasien </w:t>
      </w:r>
      <w:r w:rsidRPr="00044E37">
        <w:rPr>
          <w:rFonts w:ascii="Arial" w:eastAsia="Arial" w:hAnsi="Arial" w:cs="Arial"/>
          <w:sz w:val="22"/>
          <w:szCs w:val="22"/>
        </w:rPr>
        <w:fldChar w:fldCharType="begin" w:fldLock="1"/>
      </w:r>
      <w:r w:rsidR="00717FDE">
        <w:rPr>
          <w:rFonts w:ascii="Arial" w:eastAsia="Arial" w:hAnsi="Arial" w:cs="Arial"/>
          <w:sz w:val="22"/>
          <w:szCs w:val="22"/>
        </w:rPr>
        <w:instrText>ADDIN CSL_CITATION {"citationItems":[{"id":"ITEM-1","itemData":{"author":[{"dropping-particle":"","family":"Rizali","given":"Ervin","non-dropping-particle":"","parse-names":false,"suffix":""}],"id":"ITEM-1","issued":{"date-parts":[["2017"]]},"publisher":"M9 Publishers Jakarta","publisher-place":"Jakarta","title":"Hypnodontic dalam Perspektif Fisiologis","type":"book"},"uris":["http://www.mendeley.com/documents/?uuid=cd7f125f-01ba-4666-8588-17adf7f075dd"]},{"id":"ITEM-2","itemData":{"author":[{"dropping-particle":"","family":"Locky","given":"Setio","non-dropping-particle":"","parse-names":false,"suffix":""}],"id":"ITEM-2","issued":{"date-parts":[["2017"]]},"publisher":"Pohon Cahaya","publisher-place":"Yogyakarta","title":"HypnoGigi Terapan","type":"book"},"uris":["http://www.mendeley.com/documents/?uuid=9fb0ae46-ead9-4106-8689-b8ac1196c098"]}],"mendeley":{"formattedCitation":"(14,19)","plainTextFormattedCitation":"(14,19)","previouslyFormattedCitation":"(14,19)"},"properties":{"noteIndex":0},"schema":"https://github.com/citation-style-language/schema/raw/master/csl-citation.json"}</w:instrText>
      </w:r>
      <w:r w:rsidRPr="00044E37">
        <w:rPr>
          <w:rFonts w:ascii="Arial" w:eastAsia="Arial" w:hAnsi="Arial" w:cs="Arial"/>
          <w:sz w:val="22"/>
          <w:szCs w:val="22"/>
        </w:rPr>
        <w:fldChar w:fldCharType="separate"/>
      </w:r>
      <w:r w:rsidRPr="00044E37">
        <w:rPr>
          <w:rFonts w:ascii="Arial" w:eastAsia="Arial" w:hAnsi="Arial" w:cs="Arial"/>
          <w:noProof/>
          <w:sz w:val="22"/>
          <w:szCs w:val="22"/>
        </w:rPr>
        <w:t>(14,19)</w:t>
      </w:r>
      <w:r w:rsidRPr="00044E37">
        <w:rPr>
          <w:rFonts w:ascii="Arial" w:eastAsia="Arial" w:hAnsi="Arial" w:cs="Arial"/>
          <w:sz w:val="22"/>
          <w:szCs w:val="22"/>
        </w:rPr>
        <w:fldChar w:fldCharType="end"/>
      </w:r>
      <w:r w:rsidRPr="00044E37">
        <w:rPr>
          <w:rFonts w:ascii="Arial" w:eastAsia="Arial" w:hAnsi="Arial" w:cs="Arial"/>
          <w:sz w:val="22"/>
          <w:szCs w:val="22"/>
        </w:rPr>
        <w:t>.</w:t>
      </w:r>
    </w:p>
    <w:p w:rsidR="00A95F79" w:rsidRDefault="0026285B" w:rsidP="0026285B">
      <w:pPr>
        <w:tabs>
          <w:tab w:val="left" w:pos="1095"/>
        </w:tabs>
        <w:spacing w:line="360" w:lineRule="auto"/>
        <w:jc w:val="both"/>
        <w:rPr>
          <w:rFonts w:ascii="Arial" w:eastAsia="Arial" w:hAnsi="Arial" w:cs="Arial"/>
          <w:sz w:val="22"/>
          <w:szCs w:val="22"/>
        </w:rPr>
      </w:pPr>
      <w:r w:rsidRPr="00044E37">
        <w:rPr>
          <w:rFonts w:ascii="Arial" w:eastAsia="Arial" w:hAnsi="Arial" w:cs="Arial"/>
          <w:sz w:val="22"/>
          <w:szCs w:val="22"/>
        </w:rPr>
        <w:tab/>
        <w:t xml:space="preserve">Kemampuan pasien dalam memahami pesan yang disampaikan dalam hipnosis juga dipengaruhi oleh derajat </w:t>
      </w:r>
      <w:r w:rsidRPr="00044E37">
        <w:rPr>
          <w:rFonts w:ascii="Arial" w:eastAsia="Arial" w:hAnsi="Arial" w:cs="Arial"/>
          <w:i/>
          <w:sz w:val="22"/>
          <w:szCs w:val="22"/>
        </w:rPr>
        <w:t>hypnotizability</w:t>
      </w:r>
      <w:r w:rsidRPr="00044E37">
        <w:rPr>
          <w:rFonts w:ascii="Arial" w:eastAsia="Arial" w:hAnsi="Arial" w:cs="Arial"/>
          <w:sz w:val="22"/>
          <w:szCs w:val="22"/>
        </w:rPr>
        <w:t xml:space="preserve">. </w:t>
      </w:r>
      <w:r w:rsidRPr="00044E37">
        <w:rPr>
          <w:rFonts w:ascii="Arial" w:eastAsia="Arial" w:hAnsi="Arial" w:cs="Arial"/>
          <w:i/>
          <w:sz w:val="22"/>
          <w:szCs w:val="22"/>
        </w:rPr>
        <w:t>Hypnotizability</w:t>
      </w:r>
      <w:r w:rsidRPr="00044E37">
        <w:rPr>
          <w:rFonts w:ascii="Arial" w:eastAsia="Arial" w:hAnsi="Arial" w:cs="Arial"/>
          <w:sz w:val="22"/>
          <w:szCs w:val="22"/>
        </w:rPr>
        <w:t xml:space="preserve"> adalah persyaratan utama dala</w:t>
      </w:r>
      <w:r w:rsidR="00A95F79">
        <w:rPr>
          <w:rFonts w:ascii="Arial" w:eastAsia="Arial" w:hAnsi="Arial" w:cs="Arial"/>
          <w:sz w:val="22"/>
          <w:szCs w:val="22"/>
        </w:rPr>
        <w:t>m hipnosis yang mencakup kemamp</w:t>
      </w:r>
      <w:r w:rsidRPr="00044E37">
        <w:rPr>
          <w:rFonts w:ascii="Arial" w:eastAsia="Arial" w:hAnsi="Arial" w:cs="Arial"/>
          <w:sz w:val="22"/>
          <w:szCs w:val="22"/>
        </w:rPr>
        <w:t>u</w:t>
      </w:r>
      <w:r w:rsidR="00A95F79">
        <w:rPr>
          <w:rFonts w:ascii="Arial" w:eastAsia="Arial" w:hAnsi="Arial" w:cs="Arial"/>
          <w:sz w:val="22"/>
          <w:szCs w:val="22"/>
        </w:rPr>
        <w:t>a</w:t>
      </w:r>
      <w:r w:rsidRPr="00044E37">
        <w:rPr>
          <w:rFonts w:ascii="Arial" w:eastAsia="Arial" w:hAnsi="Arial" w:cs="Arial"/>
          <w:sz w:val="22"/>
          <w:szCs w:val="22"/>
        </w:rPr>
        <w:t>n secara sadar pasien untuk tidak menolak</w:t>
      </w:r>
      <w:r w:rsidR="00A95F79">
        <w:rPr>
          <w:rFonts w:ascii="Arial" w:eastAsia="Arial" w:hAnsi="Arial" w:cs="Arial"/>
          <w:sz w:val="22"/>
          <w:szCs w:val="22"/>
        </w:rPr>
        <w:t xml:space="preserve"> apa yang disampaikan oleh operator</w:t>
      </w:r>
      <w:r w:rsidRPr="00044E37">
        <w:rPr>
          <w:rFonts w:ascii="Arial" w:eastAsia="Arial" w:hAnsi="Arial" w:cs="Arial"/>
          <w:sz w:val="22"/>
          <w:szCs w:val="22"/>
        </w:rPr>
        <w:t>, dapat berko</w:t>
      </w:r>
      <w:r w:rsidR="00A95F79">
        <w:rPr>
          <w:rFonts w:ascii="Arial" w:eastAsia="Arial" w:hAnsi="Arial" w:cs="Arial"/>
          <w:sz w:val="22"/>
          <w:szCs w:val="22"/>
        </w:rPr>
        <w:t>munikasi dengan bahasa yang sama dengan operator</w:t>
      </w:r>
      <w:r w:rsidRPr="00044E37">
        <w:rPr>
          <w:rFonts w:ascii="Arial" w:eastAsia="Arial" w:hAnsi="Arial" w:cs="Arial"/>
          <w:sz w:val="22"/>
          <w:szCs w:val="22"/>
        </w:rPr>
        <w:t>, kemampuan untuk fokus ditambah dengan kreativitas serta fantasi visuali</w:t>
      </w:r>
      <w:r w:rsidR="00A95F79">
        <w:rPr>
          <w:rFonts w:ascii="Arial" w:eastAsia="Arial" w:hAnsi="Arial" w:cs="Arial"/>
          <w:sz w:val="22"/>
          <w:szCs w:val="22"/>
        </w:rPr>
        <w:t>sasi yang dimiliki oleh pasien.</w:t>
      </w:r>
    </w:p>
    <w:p w:rsidR="0026285B" w:rsidRPr="00044E37" w:rsidRDefault="00A95F79" w:rsidP="0026285B">
      <w:pPr>
        <w:tabs>
          <w:tab w:val="left" w:pos="1095"/>
        </w:tabs>
        <w:spacing w:line="360" w:lineRule="auto"/>
        <w:jc w:val="both"/>
        <w:rPr>
          <w:rFonts w:ascii="Arial" w:hAnsi="Arial" w:cs="Arial"/>
          <w:sz w:val="22"/>
          <w:szCs w:val="22"/>
        </w:rPr>
      </w:pPr>
      <w:r>
        <w:rPr>
          <w:rFonts w:ascii="Arial" w:eastAsia="Arial" w:hAnsi="Arial" w:cs="Arial"/>
          <w:sz w:val="22"/>
          <w:szCs w:val="22"/>
        </w:rPr>
        <w:tab/>
      </w:r>
      <w:r w:rsidR="0026285B" w:rsidRPr="00044E37">
        <w:rPr>
          <w:rFonts w:ascii="Arial" w:eastAsia="Arial" w:hAnsi="Arial" w:cs="Arial"/>
          <w:sz w:val="22"/>
          <w:szCs w:val="22"/>
        </w:rPr>
        <w:t xml:space="preserve">Berdasarkan pada penelitian yang telah dilakukan sebelumnya, derajat </w:t>
      </w:r>
      <w:r w:rsidR="0026285B" w:rsidRPr="00044E37">
        <w:rPr>
          <w:rFonts w:ascii="Arial" w:eastAsia="Arial" w:hAnsi="Arial" w:cs="Arial"/>
          <w:i/>
          <w:sz w:val="22"/>
          <w:szCs w:val="22"/>
        </w:rPr>
        <w:lastRenderedPageBreak/>
        <w:t>hypnotizability</w:t>
      </w:r>
      <w:r w:rsidR="0026285B" w:rsidRPr="00044E37">
        <w:rPr>
          <w:rFonts w:ascii="Arial" w:eastAsia="Arial" w:hAnsi="Arial" w:cs="Arial"/>
          <w:sz w:val="22"/>
          <w:szCs w:val="22"/>
        </w:rPr>
        <w:t xml:space="preserve"> tiap orang berbeda-beda tergantung pada jenis kelamin, usia, dan tingkat kecerdasan intelektual (IQ) yang dimiliki orang tersebut. </w:t>
      </w:r>
      <w:r w:rsidR="0026285B" w:rsidRPr="00044E37">
        <w:rPr>
          <w:rFonts w:ascii="Arial" w:hAnsi="Arial" w:cs="Arial"/>
          <w:sz w:val="22"/>
          <w:szCs w:val="22"/>
        </w:rPr>
        <w:t xml:space="preserve">Derajat </w:t>
      </w:r>
      <w:r w:rsidR="0026285B" w:rsidRPr="00044E37">
        <w:rPr>
          <w:rFonts w:ascii="Arial" w:hAnsi="Arial" w:cs="Arial"/>
          <w:i/>
          <w:sz w:val="22"/>
          <w:szCs w:val="22"/>
        </w:rPr>
        <w:t>hypnotizability</w:t>
      </w:r>
      <w:r w:rsidR="0026285B" w:rsidRPr="00044E37">
        <w:rPr>
          <w:rFonts w:ascii="Arial" w:hAnsi="Arial" w:cs="Arial"/>
          <w:sz w:val="22"/>
          <w:szCs w:val="22"/>
        </w:rPr>
        <w:t xml:space="preserve"> secara umum dapat digolongkan menjadi 10-15% mudah untuk dihipnosis, 70-85% sedang, serta 5% sulit untuk dihipnosis. Wanita memiliki derajat </w:t>
      </w:r>
      <w:r w:rsidR="0026285B" w:rsidRPr="00044E37">
        <w:rPr>
          <w:rFonts w:ascii="Arial" w:hAnsi="Arial" w:cs="Arial"/>
          <w:i/>
          <w:sz w:val="22"/>
          <w:szCs w:val="22"/>
        </w:rPr>
        <w:t>hypnotizability</w:t>
      </w:r>
      <w:r w:rsidR="0026285B" w:rsidRPr="00044E37">
        <w:rPr>
          <w:rFonts w:ascii="Arial" w:hAnsi="Arial" w:cs="Arial"/>
          <w:sz w:val="22"/>
          <w:szCs w:val="22"/>
        </w:rPr>
        <w:t xml:space="preserve"> lebih tinggi dibandingkan pria, serta anak-anak lebih tinggi dibandingkan dengan orang dewasa. Orang yang memiliki IQ diatas 70 cenderung lebih mudah untuk dihipnosis dan menerima sugesti yang diberikan jika dibandingkan orang yang memiliki IQ dibawah 70 </w:t>
      </w:r>
      <w:r w:rsidR="0026285B" w:rsidRPr="00044E37">
        <w:rPr>
          <w:rFonts w:ascii="Arial" w:hAnsi="Arial" w:cs="Arial"/>
          <w:sz w:val="22"/>
          <w:szCs w:val="22"/>
        </w:rPr>
        <w:fldChar w:fldCharType="begin" w:fldLock="1"/>
      </w:r>
      <w:r w:rsidR="00717FDE">
        <w:rPr>
          <w:rFonts w:ascii="Arial" w:hAnsi="Arial" w:cs="Arial"/>
          <w:sz w:val="22"/>
          <w:szCs w:val="22"/>
        </w:rPr>
        <w:instrText>ADDIN CSL_CITATION {"citationItems":[{"id":"ITEM-1","itemData":{"author":[{"dropping-particle":"","family":"R.A.","given":"Page","non-dropping-particle":"","parse-names":false,"suffix":""},{"dropping-particle":"","family":"P.","given":"Green J.","non-dropping-particle":"","parse-names":false,"suffix":""}],"container-title":"Am J Clin Hypn","id":"ITEM-1","issued":{"date-parts":[["2007"]]},"page":"283-287","title":"An Update On Age, Hypnotic Suggestibility, And Gender: A Brief Report","type":"article-journal","volume":"49"},"uris":["http://www.mendeley.com/documents/?uuid=86f49c67-3052-437e-b7b2-936b29a2ba97"]},{"id":"ITEM-2","itemData":{"author":[{"dropping-particle":"","family":"Pascalis","given":"Vilfredo D.","non-dropping-particle":"","parse-names":false,"suffix":""},{"dropping-particle":"","family":"Russo","given":"Emanuela","non-dropping-particle":"","parse-names":false,"suffix":""}],"container-title":"PLoS One","id":"ITEM-2","issue":"11","issued":{"date-parts":[["2013"]]},"page":"1-13","title":"Hypnotizability, Hypnosis And Prepulse Inhibition Of The Startle Reflex In Healthy Women: An ERP Analysis","type":"article-journal","volume":"8"},"uris":["http://www.mendeley.com/documents/?uuid=7447a38d-aac4-4add-a1dc-fbd484ab9154"]},{"id":"ITEM-3","itemData":{"author":[{"dropping-particle":"","family":"Locky","given":"Setio","non-dropping-particle":"","parse-names":false,"suffix":""}],"id":"ITEM-3","issued":{"date-parts":[["2013"]]},"publisher":"Pohon Cahaya","publisher-place":"Yogyakarta","title":"Belajar Kilat Menjadi HypnoDentist","type":"book"},"uris":["http://www.mendeley.com/documents/?uuid=347c5297-ed5d-4894-bdf1-00613a6bbdbd"]}],"mendeley":{"formattedCitation":"(20–22)","plainTextFormattedCitation":"(20–22)","previouslyFormattedCitation":"(20–22)"},"properties":{"noteIndex":0},"schema":"https://github.com/citation-style-language/schema/raw/master/csl-citation.json"}</w:instrText>
      </w:r>
      <w:r w:rsidR="0026285B" w:rsidRPr="00044E37">
        <w:rPr>
          <w:rFonts w:ascii="Arial" w:hAnsi="Arial" w:cs="Arial"/>
          <w:sz w:val="22"/>
          <w:szCs w:val="22"/>
        </w:rPr>
        <w:fldChar w:fldCharType="separate"/>
      </w:r>
      <w:r w:rsidR="0026285B" w:rsidRPr="00044E37">
        <w:rPr>
          <w:rFonts w:ascii="Arial" w:hAnsi="Arial" w:cs="Arial"/>
          <w:noProof/>
          <w:sz w:val="22"/>
          <w:szCs w:val="22"/>
        </w:rPr>
        <w:t>(20–22)</w:t>
      </w:r>
      <w:r w:rsidR="0026285B" w:rsidRPr="00044E37">
        <w:rPr>
          <w:rFonts w:ascii="Arial" w:hAnsi="Arial" w:cs="Arial"/>
          <w:sz w:val="22"/>
          <w:szCs w:val="22"/>
        </w:rPr>
        <w:fldChar w:fldCharType="end"/>
      </w:r>
      <w:r w:rsidR="0026285B" w:rsidRPr="00044E37">
        <w:rPr>
          <w:rFonts w:ascii="Arial" w:hAnsi="Arial" w:cs="Arial"/>
          <w:sz w:val="22"/>
          <w:szCs w:val="22"/>
        </w:rPr>
        <w:t>.</w:t>
      </w:r>
    </w:p>
    <w:p w:rsidR="0026285B" w:rsidRPr="0026285B" w:rsidRDefault="0026285B" w:rsidP="0026285B">
      <w:pPr>
        <w:tabs>
          <w:tab w:val="left" w:pos="1095"/>
        </w:tabs>
        <w:spacing w:line="360" w:lineRule="auto"/>
        <w:jc w:val="both"/>
        <w:rPr>
          <w:rFonts w:ascii="Arial" w:hAnsi="Arial" w:cs="Arial"/>
          <w:sz w:val="22"/>
          <w:szCs w:val="22"/>
        </w:rPr>
      </w:pPr>
      <w:r w:rsidRPr="0026285B">
        <w:rPr>
          <w:rFonts w:ascii="Arial" w:hAnsi="Arial" w:cs="Arial"/>
          <w:sz w:val="22"/>
          <w:szCs w:val="22"/>
          <w:lang w:val="en-ID"/>
        </w:rPr>
        <w:tab/>
        <w:t xml:space="preserve">Hasil penelitian pada orang dewasa menunjukkan perubahan yang cukup siginifikan terhadap tingkat kebersihan mulut pada pasien dewasa sebelum dan setelah menerima perawatan dental hipnosis. </w:t>
      </w:r>
      <w:r w:rsidRPr="0026285B">
        <w:rPr>
          <w:rFonts w:ascii="Arial" w:hAnsi="Arial" w:cs="Arial"/>
          <w:sz w:val="22"/>
          <w:szCs w:val="22"/>
        </w:rPr>
        <w:t xml:space="preserve">Penelitian ini dapat dikatakan berhasil karena didapat hasil dari uji statistik terhadap data dimana pada uji wilcoxon menghasilkan nilai </w:t>
      </w:r>
      <w:r w:rsidRPr="0026285B">
        <w:rPr>
          <w:rFonts w:ascii="Arial" w:hAnsi="Arial" w:cs="Arial"/>
          <w:i/>
          <w:sz w:val="22"/>
          <w:szCs w:val="22"/>
        </w:rPr>
        <w:t>p-value</w:t>
      </w:r>
      <w:r w:rsidRPr="0026285B">
        <w:rPr>
          <w:rFonts w:ascii="Arial" w:hAnsi="Arial" w:cs="Arial"/>
          <w:sz w:val="22"/>
          <w:szCs w:val="22"/>
        </w:rPr>
        <w:t xml:space="preserve"> &lt;0,0</w:t>
      </w:r>
      <w:r w:rsidRPr="0026285B">
        <w:rPr>
          <w:rFonts w:ascii="Arial" w:hAnsi="Arial" w:cs="Arial"/>
          <w:sz w:val="22"/>
          <w:szCs w:val="22"/>
          <w:lang w:val="en-ID"/>
        </w:rPr>
        <w:t>5</w:t>
      </w:r>
      <w:r w:rsidRPr="0026285B">
        <w:rPr>
          <w:rFonts w:ascii="Arial" w:hAnsi="Arial" w:cs="Arial"/>
          <w:sz w:val="22"/>
          <w:szCs w:val="22"/>
        </w:rPr>
        <w:t xml:space="preserve"> yang menyatakan bahwa data sangat berarti dan dengan keputusan yaitu tolak H</w:t>
      </w:r>
      <w:r w:rsidRPr="0026285B">
        <w:rPr>
          <w:rFonts w:ascii="Arial" w:hAnsi="Arial" w:cs="Arial"/>
          <w:sz w:val="22"/>
          <w:szCs w:val="22"/>
          <w:vertAlign w:val="subscript"/>
        </w:rPr>
        <w:t>0</w:t>
      </w:r>
      <w:r w:rsidRPr="0026285B">
        <w:rPr>
          <w:rFonts w:ascii="Arial" w:hAnsi="Arial" w:cs="Arial"/>
          <w:sz w:val="22"/>
          <w:szCs w:val="22"/>
        </w:rPr>
        <w:t>, yang artinya data yang diambil menyatakan bahwa</w:t>
      </w:r>
      <w:r w:rsidRPr="0026285B">
        <w:rPr>
          <w:rFonts w:ascii="Arial" w:hAnsi="Arial" w:cs="Arial"/>
          <w:sz w:val="22"/>
          <w:szCs w:val="22"/>
          <w:lang w:val="en-ID"/>
        </w:rPr>
        <w:t xml:space="preserve"> dental</w:t>
      </w:r>
      <w:r w:rsidRPr="0026285B">
        <w:rPr>
          <w:rFonts w:ascii="Arial" w:hAnsi="Arial" w:cs="Arial"/>
          <w:sz w:val="22"/>
          <w:szCs w:val="22"/>
        </w:rPr>
        <w:t xml:space="preserve"> hipnosis dapat berperan dalam menurunkan</w:t>
      </w:r>
      <w:r w:rsidRPr="0026285B">
        <w:rPr>
          <w:rFonts w:ascii="Arial" w:hAnsi="Arial" w:cs="Arial"/>
          <w:sz w:val="22"/>
          <w:szCs w:val="22"/>
          <w:lang w:val="en-ID"/>
        </w:rPr>
        <w:t xml:space="preserve"> indeks OHI-S pada pasien dewasa dan berpengaruh secara signifikan terhadap tingkat kebersihan mulut pada pasien dewasa.</w:t>
      </w:r>
      <w:r w:rsidRPr="0026285B">
        <w:rPr>
          <w:rFonts w:ascii="Arial" w:hAnsi="Arial" w:cs="Arial"/>
          <w:sz w:val="22"/>
          <w:szCs w:val="22"/>
        </w:rPr>
        <w:t xml:space="preserve"> Perubahan ini dapat terjadi karena perawatan</w:t>
      </w:r>
      <w:r w:rsidRPr="0026285B">
        <w:rPr>
          <w:rFonts w:ascii="Arial" w:hAnsi="Arial" w:cs="Arial"/>
          <w:sz w:val="22"/>
          <w:szCs w:val="22"/>
          <w:lang w:val="en-ID"/>
        </w:rPr>
        <w:t xml:space="preserve"> dental</w:t>
      </w:r>
      <w:r w:rsidRPr="0026285B">
        <w:rPr>
          <w:rFonts w:ascii="Arial" w:hAnsi="Arial" w:cs="Arial"/>
          <w:sz w:val="22"/>
          <w:szCs w:val="22"/>
        </w:rPr>
        <w:t xml:space="preserve"> hipnosis dilakukan secara benar, sehingga sugesti yang disampaikan oleh operator tepat sasaran </w:t>
      </w:r>
      <w:r w:rsidRPr="0026285B">
        <w:rPr>
          <w:rFonts w:ascii="Arial" w:hAnsi="Arial" w:cs="Arial"/>
          <w:sz w:val="22"/>
          <w:szCs w:val="22"/>
        </w:rPr>
        <w:t>dan tidak menimbulkan efek samping untuk orang dewasa itu sendiri.</w:t>
      </w:r>
    </w:p>
    <w:p w:rsidR="0026285B" w:rsidRPr="0026285B" w:rsidRDefault="0026285B" w:rsidP="0026285B">
      <w:pPr>
        <w:tabs>
          <w:tab w:val="left" w:pos="1095"/>
        </w:tabs>
        <w:spacing w:line="360" w:lineRule="auto"/>
        <w:jc w:val="both"/>
        <w:rPr>
          <w:rFonts w:ascii="Arial" w:hAnsi="Arial" w:cs="Arial"/>
          <w:sz w:val="22"/>
          <w:szCs w:val="22"/>
          <w:lang w:val="en-ID"/>
        </w:rPr>
      </w:pPr>
      <w:r w:rsidRPr="0026285B">
        <w:rPr>
          <w:rFonts w:ascii="Arial" w:hAnsi="Arial" w:cs="Arial"/>
          <w:sz w:val="22"/>
          <w:szCs w:val="22"/>
        </w:rPr>
        <w:tab/>
        <w:t xml:space="preserve">Keterbatasan dari penelitian ini </w:t>
      </w:r>
      <w:r w:rsidRPr="0026285B">
        <w:rPr>
          <w:rFonts w:ascii="Arial" w:hAnsi="Arial" w:cs="Arial"/>
          <w:sz w:val="22"/>
          <w:szCs w:val="22"/>
          <w:lang w:val="en-ID"/>
        </w:rPr>
        <w:t>terlihat dari f</w:t>
      </w:r>
      <w:r w:rsidRPr="0026285B">
        <w:rPr>
          <w:rFonts w:ascii="Arial" w:hAnsi="Arial" w:cs="Arial"/>
          <w:sz w:val="22"/>
          <w:szCs w:val="22"/>
        </w:rPr>
        <w:t>aktor</w:t>
      </w:r>
      <w:r w:rsidRPr="0026285B">
        <w:rPr>
          <w:rFonts w:ascii="Arial" w:hAnsi="Arial" w:cs="Arial"/>
          <w:sz w:val="22"/>
          <w:szCs w:val="22"/>
          <w:lang w:val="en-ID"/>
        </w:rPr>
        <w:t xml:space="preserve"> ekonomi dan pendidikan yang memengaruhi dalam penelitian kali ini. </w:t>
      </w:r>
      <w:r w:rsidR="00A95F79">
        <w:rPr>
          <w:rFonts w:ascii="Arial" w:hAnsi="Arial" w:cs="Arial"/>
          <w:sz w:val="22"/>
          <w:szCs w:val="22"/>
          <w:lang w:val="en-ID"/>
        </w:rPr>
        <w:t>P</w:t>
      </w:r>
      <w:r w:rsidRPr="0026285B">
        <w:rPr>
          <w:rFonts w:ascii="Arial" w:hAnsi="Arial" w:cs="Arial"/>
          <w:sz w:val="22"/>
          <w:szCs w:val="22"/>
          <w:lang w:val="en-ID"/>
        </w:rPr>
        <w:t>asien rata-rata memiliki tingkat perekenomian menengah ke atas dan memiliki tingkat pendidikan yang baik sehingga kesadaran masyarakat terhadap pentingnya menjaga kebersihan mulut cukup tinggi dan mengakibatkan operator sedikit kesulitan dalam mencari dan menjaring pasien yang memiliki tingkat kebersihan mulut yang buruk.</w:t>
      </w:r>
    </w:p>
    <w:p w:rsidR="0026285B" w:rsidRPr="0026285B" w:rsidRDefault="0026285B" w:rsidP="0026285B">
      <w:pPr>
        <w:tabs>
          <w:tab w:val="left" w:pos="1095"/>
        </w:tabs>
        <w:spacing w:line="360" w:lineRule="auto"/>
        <w:jc w:val="both"/>
        <w:rPr>
          <w:rFonts w:ascii="Arial" w:hAnsi="Arial" w:cs="Arial"/>
          <w:sz w:val="22"/>
          <w:szCs w:val="22"/>
          <w:lang w:val="en-ID"/>
        </w:rPr>
      </w:pPr>
      <w:r w:rsidRPr="0026285B">
        <w:rPr>
          <w:rFonts w:ascii="Arial" w:hAnsi="Arial" w:cs="Arial"/>
          <w:sz w:val="22"/>
          <w:szCs w:val="22"/>
          <w:lang w:val="en-ID"/>
        </w:rPr>
        <w:tab/>
        <w:t>Operator kadang menga</w:t>
      </w:r>
      <w:r w:rsidR="00A95F79">
        <w:rPr>
          <w:rFonts w:ascii="Arial" w:hAnsi="Arial" w:cs="Arial"/>
          <w:sz w:val="22"/>
          <w:szCs w:val="22"/>
          <w:lang w:val="en-ID"/>
        </w:rPr>
        <w:t>lami kesulitan dengan pemakaian kata yang hendak disampaikan</w:t>
      </w:r>
      <w:r w:rsidRPr="0026285B">
        <w:rPr>
          <w:rFonts w:ascii="Arial" w:hAnsi="Arial" w:cs="Arial"/>
          <w:sz w:val="22"/>
          <w:szCs w:val="22"/>
          <w:lang w:val="en-ID"/>
        </w:rPr>
        <w:t xml:space="preserve"> dalam sugesti yang diberikan karena pemilihan kata yang diberikan kepada pasien sangat menentukan terhadap keberhasilan proses dan hasil hipnosis kepada pasien itu sendiri.</w:t>
      </w:r>
    </w:p>
    <w:p w:rsidR="0026285B" w:rsidRPr="0026285B" w:rsidRDefault="0026285B" w:rsidP="0026285B">
      <w:pPr>
        <w:tabs>
          <w:tab w:val="left" w:pos="1095"/>
        </w:tabs>
        <w:spacing w:line="360" w:lineRule="auto"/>
        <w:jc w:val="both"/>
        <w:rPr>
          <w:rFonts w:ascii="Arial" w:hAnsi="Arial" w:cs="Arial"/>
          <w:sz w:val="22"/>
          <w:szCs w:val="22"/>
          <w:lang w:val="en-ID"/>
        </w:rPr>
      </w:pPr>
      <w:r w:rsidRPr="0026285B">
        <w:rPr>
          <w:rFonts w:ascii="Arial" w:hAnsi="Arial" w:cs="Arial"/>
          <w:sz w:val="22"/>
          <w:szCs w:val="22"/>
          <w:lang w:val="en-ID"/>
        </w:rPr>
        <w:tab/>
      </w:r>
      <w:r w:rsidR="00A95F79">
        <w:rPr>
          <w:rFonts w:ascii="Arial" w:hAnsi="Arial" w:cs="Arial"/>
          <w:sz w:val="22"/>
          <w:szCs w:val="22"/>
          <w:lang w:val="en-ID"/>
        </w:rPr>
        <w:t xml:space="preserve">Operator </w:t>
      </w:r>
      <w:r w:rsidRPr="0026285B">
        <w:rPr>
          <w:rFonts w:ascii="Arial" w:hAnsi="Arial" w:cs="Arial"/>
          <w:sz w:val="22"/>
          <w:szCs w:val="22"/>
          <w:lang w:val="en-ID"/>
        </w:rPr>
        <w:t xml:space="preserve">sering menggunakan kata yang sifatnya negatif dan otoriter dalam memberikan sugesti kepada pasien. Keterbatasan kosakata yang dimiliki operator serta jam terbang </w:t>
      </w:r>
      <w:r w:rsidR="00A95F79">
        <w:rPr>
          <w:rFonts w:ascii="Arial" w:hAnsi="Arial" w:cs="Arial"/>
          <w:sz w:val="22"/>
          <w:szCs w:val="22"/>
          <w:lang w:val="en-ID"/>
        </w:rPr>
        <w:t xml:space="preserve">operator yang masih rendah juga </w:t>
      </w:r>
      <w:r w:rsidRPr="0026285B">
        <w:rPr>
          <w:rFonts w:ascii="Arial" w:hAnsi="Arial" w:cs="Arial"/>
          <w:sz w:val="22"/>
          <w:szCs w:val="22"/>
          <w:lang w:val="en-ID"/>
        </w:rPr>
        <w:t xml:space="preserve">membuat operator kesulitan dalam menentukan kata apa yang </w:t>
      </w:r>
      <w:proofErr w:type="gramStart"/>
      <w:r w:rsidRPr="0026285B">
        <w:rPr>
          <w:rFonts w:ascii="Arial" w:hAnsi="Arial" w:cs="Arial"/>
          <w:sz w:val="22"/>
          <w:szCs w:val="22"/>
          <w:lang w:val="en-ID"/>
        </w:rPr>
        <w:t xml:space="preserve">semestinya </w:t>
      </w:r>
      <w:r w:rsidR="00A95F79">
        <w:rPr>
          <w:rFonts w:ascii="Arial" w:hAnsi="Arial" w:cs="Arial"/>
          <w:sz w:val="22"/>
          <w:szCs w:val="22"/>
          <w:lang w:val="en-ID"/>
        </w:rPr>
        <w:t xml:space="preserve"> hendak</w:t>
      </w:r>
      <w:proofErr w:type="gramEnd"/>
      <w:r w:rsidR="00A95F79">
        <w:rPr>
          <w:rFonts w:ascii="Arial" w:hAnsi="Arial" w:cs="Arial"/>
          <w:sz w:val="22"/>
          <w:szCs w:val="22"/>
          <w:lang w:val="en-ID"/>
        </w:rPr>
        <w:t xml:space="preserve"> operator sampaikan</w:t>
      </w:r>
      <w:r w:rsidRPr="0026285B">
        <w:rPr>
          <w:rFonts w:ascii="Arial" w:hAnsi="Arial" w:cs="Arial"/>
          <w:sz w:val="22"/>
          <w:szCs w:val="22"/>
          <w:lang w:val="en-ID"/>
        </w:rPr>
        <w:t xml:space="preserve"> untuk menyugesti pasien agar pasien tidak merasa kebingungan dengan sugesti yang diberikan yang pada akhirnya akan membuat terapi hipnosis menjadi gagal.</w:t>
      </w:r>
    </w:p>
    <w:p w:rsidR="0026285B" w:rsidRPr="0026285B" w:rsidRDefault="0026285B" w:rsidP="0026285B">
      <w:pPr>
        <w:tabs>
          <w:tab w:val="left" w:pos="1095"/>
        </w:tabs>
        <w:spacing w:line="360" w:lineRule="auto"/>
        <w:jc w:val="both"/>
        <w:rPr>
          <w:rFonts w:ascii="Arial" w:hAnsi="Arial" w:cs="Arial"/>
          <w:sz w:val="22"/>
          <w:szCs w:val="22"/>
          <w:lang w:val="en-ID"/>
        </w:rPr>
      </w:pPr>
      <w:r>
        <w:rPr>
          <w:rFonts w:ascii="Arial" w:hAnsi="Arial" w:cs="Arial"/>
          <w:sz w:val="22"/>
          <w:szCs w:val="22"/>
          <w:lang w:val="en-ID"/>
        </w:rPr>
        <w:tab/>
      </w:r>
      <w:r w:rsidRPr="0026285B">
        <w:rPr>
          <w:rFonts w:ascii="Arial" w:hAnsi="Arial" w:cs="Arial"/>
          <w:sz w:val="22"/>
          <w:szCs w:val="22"/>
          <w:lang w:val="en-ID"/>
        </w:rPr>
        <w:t>Peng</w:t>
      </w:r>
      <w:r w:rsidR="00501CE9">
        <w:rPr>
          <w:rFonts w:ascii="Arial" w:hAnsi="Arial" w:cs="Arial"/>
          <w:sz w:val="22"/>
          <w:szCs w:val="22"/>
          <w:lang w:val="en-ID"/>
        </w:rPr>
        <w:t>alaman operator yang juga masih rendah</w:t>
      </w:r>
      <w:r w:rsidRPr="0026285B">
        <w:rPr>
          <w:rFonts w:ascii="Arial" w:hAnsi="Arial" w:cs="Arial"/>
          <w:sz w:val="22"/>
          <w:szCs w:val="22"/>
          <w:lang w:val="en-ID"/>
        </w:rPr>
        <w:t xml:space="preserve"> dan kemampuan </w:t>
      </w:r>
      <w:r w:rsidRPr="0026285B">
        <w:rPr>
          <w:rFonts w:ascii="Arial" w:hAnsi="Arial" w:cs="Arial"/>
          <w:sz w:val="22"/>
          <w:szCs w:val="22"/>
          <w:lang w:val="en-ID"/>
        </w:rPr>
        <w:lastRenderedPageBreak/>
        <w:t>operator yang masih belum matang membuat operator juga kesulitan dalam menginduksi pasien sehingga memakan waktu yang cukup lama dalam meginduksi pasien, dan menentukan apakah pasien sudah benar-benar terinduksi dan tersugesti atau belum.</w:t>
      </w:r>
      <w:r w:rsidR="00E7522B">
        <w:rPr>
          <w:rFonts w:ascii="Arial" w:hAnsi="Arial" w:cs="Arial"/>
          <w:sz w:val="22"/>
          <w:szCs w:val="22"/>
          <w:lang w:val="en-ID"/>
        </w:rPr>
        <w:t xml:space="preserve"> </w:t>
      </w:r>
      <w:r w:rsidRPr="0026285B">
        <w:rPr>
          <w:rFonts w:ascii="Arial" w:hAnsi="Arial" w:cs="Arial"/>
          <w:sz w:val="22"/>
          <w:szCs w:val="22"/>
          <w:lang w:val="en-ID"/>
        </w:rPr>
        <w:t>Operator juga kesulitan untuk menentukan waktu pemeriksaan kesehatan mulut yang kedua kalinya. Pasien memiliki aktivitas serta kesibukannya masing-masing sehingga operator sulit untuk menyamakan waktu yang operator miliki dengan waktu pasien untuk melakukan pemeriksaan kebersihan mulut lanjutan.</w:t>
      </w:r>
    </w:p>
    <w:p w:rsidR="0026285B" w:rsidRDefault="0026285B" w:rsidP="0026285B">
      <w:pPr>
        <w:spacing w:line="360" w:lineRule="auto"/>
        <w:jc w:val="both"/>
        <w:rPr>
          <w:rFonts w:ascii="Arial" w:eastAsia="Arial" w:hAnsi="Arial" w:cs="Arial"/>
          <w:b/>
          <w:sz w:val="22"/>
          <w:szCs w:val="22"/>
        </w:rPr>
      </w:pPr>
    </w:p>
    <w:p w:rsidR="0026285B" w:rsidRDefault="0026285B" w:rsidP="0026285B">
      <w:pPr>
        <w:spacing w:line="360" w:lineRule="auto"/>
        <w:jc w:val="both"/>
        <w:rPr>
          <w:rFonts w:ascii="Arial" w:eastAsia="Arial" w:hAnsi="Arial" w:cs="Arial"/>
          <w:b/>
          <w:sz w:val="22"/>
          <w:szCs w:val="22"/>
        </w:rPr>
      </w:pPr>
      <w:r>
        <w:rPr>
          <w:rFonts w:ascii="Arial" w:eastAsia="Arial" w:hAnsi="Arial" w:cs="Arial"/>
          <w:b/>
          <w:sz w:val="22"/>
          <w:szCs w:val="22"/>
        </w:rPr>
        <w:t>SIMPULAN</w:t>
      </w:r>
    </w:p>
    <w:p w:rsidR="0026285B" w:rsidRPr="0026285B" w:rsidRDefault="0026285B" w:rsidP="0026285B">
      <w:pPr>
        <w:spacing w:line="360" w:lineRule="auto"/>
        <w:jc w:val="both"/>
        <w:rPr>
          <w:rFonts w:ascii="Arial" w:eastAsia="Arial" w:hAnsi="Arial" w:cs="Arial"/>
          <w:b/>
          <w:sz w:val="22"/>
          <w:szCs w:val="22"/>
        </w:rPr>
      </w:pPr>
      <w:r w:rsidRPr="0026285B">
        <w:rPr>
          <w:rFonts w:ascii="Arial" w:hAnsi="Arial" w:cs="Arial"/>
          <w:sz w:val="22"/>
          <w:szCs w:val="22"/>
        </w:rPr>
        <w:t>Berdasarkan hasil analisis data dan pembahasan yang telah dilakukan pada bab sebelumnya, maka simpulannya adalah dental hipnosis memiliki pengaruh terhadap tingkat kebersihan mulut pada pasien dewasa.</w:t>
      </w:r>
    </w:p>
    <w:p w:rsidR="003104E2" w:rsidRPr="00790E26" w:rsidRDefault="003104E2" w:rsidP="0026285B">
      <w:pPr>
        <w:spacing w:line="360" w:lineRule="auto"/>
        <w:jc w:val="both"/>
        <w:rPr>
          <w:rFonts w:ascii="Arial" w:eastAsia="Arial" w:hAnsi="Arial" w:cs="Arial"/>
          <w:b/>
          <w:sz w:val="22"/>
          <w:szCs w:val="22"/>
        </w:rPr>
      </w:pPr>
    </w:p>
    <w:p w:rsidR="0026285B" w:rsidRDefault="0026285B" w:rsidP="0026285B">
      <w:pPr>
        <w:spacing w:line="360" w:lineRule="auto"/>
        <w:jc w:val="both"/>
        <w:rPr>
          <w:rFonts w:ascii="Arial" w:eastAsia="Arial" w:hAnsi="Arial" w:cs="Arial"/>
          <w:b/>
          <w:sz w:val="22"/>
          <w:szCs w:val="22"/>
        </w:rPr>
      </w:pPr>
      <w:r>
        <w:rPr>
          <w:rFonts w:ascii="Arial" w:eastAsia="Arial" w:hAnsi="Arial" w:cs="Arial"/>
          <w:b/>
          <w:sz w:val="22"/>
          <w:szCs w:val="22"/>
        </w:rPr>
        <w:t>UCAPAN TERIMAKASIH</w:t>
      </w:r>
    </w:p>
    <w:p w:rsidR="0026285B" w:rsidRPr="00044E37" w:rsidRDefault="0026285B" w:rsidP="0026285B">
      <w:pPr>
        <w:spacing w:line="360" w:lineRule="auto"/>
        <w:jc w:val="both"/>
        <w:rPr>
          <w:rFonts w:ascii="Arial" w:eastAsia="Arial" w:hAnsi="Arial" w:cs="Arial"/>
          <w:sz w:val="22"/>
          <w:szCs w:val="22"/>
        </w:rPr>
      </w:pPr>
      <w:r w:rsidRPr="00044E37">
        <w:rPr>
          <w:rFonts w:ascii="Arial" w:eastAsia="Arial" w:hAnsi="Arial" w:cs="Arial"/>
          <w:sz w:val="22"/>
          <w:szCs w:val="22"/>
        </w:rPr>
        <w:t>Penulis mengucapkan terimakasih yang sebesar-besarnya kepada pihak-pihak yang telah membantu penulis dalam menyelesaikan penelitian dan penulisan jurnal ilmiah ini sehingga dapat selesai dengan baik.</w:t>
      </w:r>
    </w:p>
    <w:p w:rsidR="0026285B" w:rsidRDefault="0026285B" w:rsidP="0026285B">
      <w:pPr>
        <w:spacing w:line="360" w:lineRule="auto"/>
        <w:jc w:val="both"/>
        <w:rPr>
          <w:rFonts w:ascii="Arial" w:eastAsia="Arial" w:hAnsi="Arial" w:cs="Arial"/>
          <w:sz w:val="22"/>
          <w:szCs w:val="22"/>
        </w:rPr>
      </w:pPr>
    </w:p>
    <w:p w:rsidR="0026285B" w:rsidRDefault="0026285B" w:rsidP="0026285B">
      <w:pPr>
        <w:spacing w:line="360" w:lineRule="auto"/>
        <w:jc w:val="both"/>
        <w:rPr>
          <w:rFonts w:ascii="Arial" w:eastAsia="Arial" w:hAnsi="Arial" w:cs="Arial"/>
          <w:b/>
          <w:sz w:val="22"/>
          <w:szCs w:val="22"/>
        </w:rPr>
      </w:pPr>
      <w:r>
        <w:rPr>
          <w:rFonts w:ascii="Arial" w:eastAsia="Arial" w:hAnsi="Arial" w:cs="Arial"/>
          <w:b/>
          <w:sz w:val="22"/>
          <w:szCs w:val="22"/>
        </w:rPr>
        <w:t xml:space="preserve">DAFTAR PUSTAKA </w:t>
      </w:r>
    </w:p>
    <w:p w:rsidR="00717FDE" w:rsidRPr="00717FDE" w:rsidRDefault="003104E2" w:rsidP="00717FDE">
      <w:pPr>
        <w:widowControl w:val="0"/>
        <w:autoSpaceDE w:val="0"/>
        <w:autoSpaceDN w:val="0"/>
        <w:adjustRightInd w:val="0"/>
        <w:ind w:left="640" w:hanging="640"/>
        <w:rPr>
          <w:rFonts w:ascii="Arial" w:hAnsi="Arial" w:cs="Arial"/>
          <w:noProof/>
          <w:sz w:val="22"/>
          <w:szCs w:val="24"/>
        </w:rPr>
      </w:pPr>
      <w:r>
        <w:rPr>
          <w:rFonts w:ascii="Arial" w:eastAsia="Arial" w:hAnsi="Arial" w:cs="Arial"/>
          <w:sz w:val="22"/>
          <w:szCs w:val="22"/>
        </w:rPr>
        <w:fldChar w:fldCharType="begin" w:fldLock="1"/>
      </w:r>
      <w:r>
        <w:rPr>
          <w:rFonts w:ascii="Arial" w:eastAsia="Arial" w:hAnsi="Arial" w:cs="Arial"/>
          <w:sz w:val="22"/>
          <w:szCs w:val="22"/>
        </w:rPr>
        <w:instrText xml:space="preserve">ADDIN Mendeley Bibliography CSL_BIBLIOGRAPHY </w:instrText>
      </w:r>
      <w:r>
        <w:rPr>
          <w:rFonts w:ascii="Arial" w:eastAsia="Arial" w:hAnsi="Arial" w:cs="Arial"/>
          <w:sz w:val="22"/>
          <w:szCs w:val="22"/>
        </w:rPr>
        <w:fldChar w:fldCharType="separate"/>
      </w:r>
      <w:r w:rsidR="00717FDE" w:rsidRPr="00717FDE">
        <w:rPr>
          <w:rFonts w:ascii="Arial" w:hAnsi="Arial" w:cs="Arial"/>
          <w:noProof/>
          <w:sz w:val="22"/>
          <w:szCs w:val="24"/>
        </w:rPr>
        <w:t xml:space="preserve">1. </w:t>
      </w:r>
      <w:r w:rsidR="00717FDE" w:rsidRPr="00717FDE">
        <w:rPr>
          <w:rFonts w:ascii="Arial" w:hAnsi="Arial" w:cs="Arial"/>
          <w:noProof/>
          <w:sz w:val="22"/>
          <w:szCs w:val="24"/>
        </w:rPr>
        <w:tab/>
        <w:t xml:space="preserve">Kementerian Kesehatan Republik Indonesia. Riskesdas. Pokok-Pokok Hasil Riskesdas Indonesia Tahun 2013. Jakarta: Kementerian Kesehatan Republik Indonesia; </w:t>
      </w:r>
      <w:r w:rsidR="00717FDE" w:rsidRPr="00717FDE">
        <w:rPr>
          <w:rFonts w:ascii="Arial" w:hAnsi="Arial" w:cs="Arial"/>
          <w:noProof/>
          <w:sz w:val="22"/>
          <w:szCs w:val="24"/>
        </w:rPr>
        <w:t xml:space="preserve">2014.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2. </w:t>
      </w:r>
      <w:r w:rsidRPr="00717FDE">
        <w:rPr>
          <w:rFonts w:ascii="Arial" w:hAnsi="Arial" w:cs="Arial"/>
          <w:noProof/>
          <w:sz w:val="22"/>
          <w:szCs w:val="24"/>
        </w:rPr>
        <w:tab/>
        <w:t xml:space="preserve">S. A, Rahayu N. E. Hubungan Frekuensi Menyikat Gigi dengan Tingkat Kebersihan Gigi dan Mulut Siswa Sekolah Dasar Negeri di Kecamatan Palaran Kotamadya Samarinda Provinsi Kalimantan Timur. Dent J. 2005;38(2):88–90.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3. </w:t>
      </w:r>
      <w:r w:rsidRPr="00717FDE">
        <w:rPr>
          <w:rFonts w:ascii="Arial" w:hAnsi="Arial" w:cs="Arial"/>
          <w:noProof/>
          <w:sz w:val="22"/>
          <w:szCs w:val="24"/>
        </w:rPr>
        <w:tab/>
        <w:t xml:space="preserve">Sintawati FX, N. T. Faktor-Faktor yang Mempengaruhi Kebersihan Gigi dan Mulut Masyaraka DKI Jakarta Tahun 2007. J Ekol Kesehat. 2008;8(1):860–73.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4. </w:t>
      </w:r>
      <w:r w:rsidRPr="00717FDE">
        <w:rPr>
          <w:rFonts w:ascii="Arial" w:hAnsi="Arial" w:cs="Arial"/>
          <w:noProof/>
          <w:sz w:val="22"/>
          <w:szCs w:val="24"/>
        </w:rPr>
        <w:tab/>
        <w:t xml:space="preserve">Bunting RW. Oral Hygiene. Philadelphia: Lea &amp; Febiger; 1960.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5. </w:t>
      </w:r>
      <w:r w:rsidRPr="00717FDE">
        <w:rPr>
          <w:rFonts w:ascii="Arial" w:hAnsi="Arial" w:cs="Arial"/>
          <w:noProof/>
          <w:sz w:val="22"/>
          <w:szCs w:val="24"/>
        </w:rPr>
        <w:tab/>
        <w:t xml:space="preserve">Harris NO, Christen AG. Primary Preventive Dentistry. 4th ed. Stamford: Appleton &amp; Lange; 1995.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6. </w:t>
      </w:r>
      <w:r w:rsidRPr="00717FDE">
        <w:rPr>
          <w:rFonts w:ascii="Arial" w:hAnsi="Arial" w:cs="Arial"/>
          <w:noProof/>
          <w:sz w:val="22"/>
          <w:szCs w:val="24"/>
        </w:rPr>
        <w:tab/>
        <w:t xml:space="preserve">Mitra M. Hubungan Status Karies dan Gingivitis dengan Oral Hygiene pada Anak Usia 6-12 Tahun di Desa Ujung Rambung Kecamatan Pantai Cermin Kabupaten Serdang Bedagai. Skripsi. Medan: Fakultas Kedokteran Gigi Universitas Sumatera Utara; 2010.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7. </w:t>
      </w:r>
      <w:r w:rsidRPr="00717FDE">
        <w:rPr>
          <w:rFonts w:ascii="Arial" w:hAnsi="Arial" w:cs="Arial"/>
          <w:noProof/>
          <w:sz w:val="22"/>
          <w:szCs w:val="24"/>
        </w:rPr>
        <w:tab/>
        <w:t xml:space="preserve">Hermawan R. Menyehatkan Daerah Mulut. Yogyakarta: Buku Biru; 2010.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8. </w:t>
      </w:r>
      <w:r w:rsidRPr="00717FDE">
        <w:rPr>
          <w:rFonts w:ascii="Arial" w:hAnsi="Arial" w:cs="Arial"/>
          <w:noProof/>
          <w:sz w:val="22"/>
          <w:szCs w:val="24"/>
        </w:rPr>
        <w:tab/>
        <w:t xml:space="preserve">Darby ML, L. MM. Dental Hygiene: Theory and Practice. St Louis: Saunders Elsevier; 2010.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9. </w:t>
      </w:r>
      <w:r w:rsidRPr="00717FDE">
        <w:rPr>
          <w:rFonts w:ascii="Arial" w:hAnsi="Arial" w:cs="Arial"/>
          <w:noProof/>
          <w:sz w:val="22"/>
          <w:szCs w:val="24"/>
        </w:rPr>
        <w:tab/>
        <w:t xml:space="preserve">Hidayat R, Tandiari A. Kesehatan Gigi &amp; Mulut: Apa yang Sebaiknya Anda Tahu ? Yogyakarta: CV Andi Offset; 2016.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10. </w:t>
      </w:r>
      <w:r w:rsidRPr="00717FDE">
        <w:rPr>
          <w:rFonts w:ascii="Arial" w:hAnsi="Arial" w:cs="Arial"/>
          <w:noProof/>
          <w:sz w:val="22"/>
          <w:szCs w:val="24"/>
        </w:rPr>
        <w:tab/>
        <w:t xml:space="preserve">Santoso O, Sr WA, Dwi Retnonigrum. Hubungan Kebersihan Mulut dan Gingivitis Ibu Hamil Terhadap Kejadian Bayi Berat Badan Lahir Rendah Kurang Bulan di RSUP Dr Kariadi Semarang dan Jejaringnya. Media Med Indones. 2009;43:288–94.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11. </w:t>
      </w:r>
      <w:r w:rsidRPr="00717FDE">
        <w:rPr>
          <w:rFonts w:ascii="Arial" w:hAnsi="Arial" w:cs="Arial"/>
          <w:noProof/>
          <w:sz w:val="22"/>
          <w:szCs w:val="24"/>
        </w:rPr>
        <w:tab/>
        <w:t xml:space="preserve">Putri MH, Herijulianti E, Nurjannah N. Ilmu Pencegahan Penyakit Jaringan Keras dan Jaringan Pendukung Gigi. Jakarta: Penerbit Buku Kedokteran EGC; 2015.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12. </w:t>
      </w:r>
      <w:r w:rsidRPr="00717FDE">
        <w:rPr>
          <w:rFonts w:ascii="Arial" w:hAnsi="Arial" w:cs="Arial"/>
          <w:noProof/>
          <w:sz w:val="22"/>
          <w:szCs w:val="24"/>
        </w:rPr>
        <w:tab/>
        <w:t xml:space="preserve">Winn DM, Blot WJ, McLaughlin JK, Austin DF, Greenberg RS, Preston-Martin S, et al. Mouthwash Use and Oral Conditions in the Risk of Oral and Pharyngeal Cancer. Cancer Res. 1991;51:3044–7.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lastRenderedPageBreak/>
        <w:t xml:space="preserve">13. </w:t>
      </w:r>
      <w:r w:rsidRPr="00717FDE">
        <w:rPr>
          <w:rFonts w:ascii="Arial" w:hAnsi="Arial" w:cs="Arial"/>
          <w:noProof/>
          <w:sz w:val="22"/>
          <w:szCs w:val="24"/>
        </w:rPr>
        <w:tab/>
        <w:t xml:space="preserve">S. FC, McIntosh L, McCullough MJ. Mouthwashes. Mouthwashes Aust Prescr. 2009;32(6):162–4.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14. </w:t>
      </w:r>
      <w:r w:rsidRPr="00717FDE">
        <w:rPr>
          <w:rFonts w:ascii="Arial" w:hAnsi="Arial" w:cs="Arial"/>
          <w:noProof/>
          <w:sz w:val="22"/>
          <w:szCs w:val="24"/>
        </w:rPr>
        <w:tab/>
        <w:t xml:space="preserve">Rizali E. Hypnodontic dalam Perspektif Fisiologis. Jakarta: M9 Publishers Jakarta; 2017.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15. </w:t>
      </w:r>
      <w:r w:rsidRPr="00717FDE">
        <w:rPr>
          <w:rFonts w:ascii="Arial" w:hAnsi="Arial" w:cs="Arial"/>
          <w:noProof/>
          <w:sz w:val="22"/>
          <w:szCs w:val="24"/>
        </w:rPr>
        <w:tab/>
        <w:t xml:space="preserve">Dane JR, Kessler R. Future Developments In Professional Hypnosis Training: A Review And Critique Of Available Training With Consideration For Development Of A Nationally Coordinated Program. Am J Clin Hypn. 1998;41(1):38–54.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16. </w:t>
      </w:r>
      <w:r w:rsidRPr="00717FDE">
        <w:rPr>
          <w:rFonts w:ascii="Arial" w:hAnsi="Arial" w:cs="Arial"/>
          <w:noProof/>
          <w:sz w:val="22"/>
          <w:szCs w:val="24"/>
        </w:rPr>
        <w:tab/>
        <w:t xml:space="preserve">Malik M, V. PRH, Maurya R, Laller S, Shukla C, Saini RS. Hypnodontics: Role of Hypnosis in Oral Health. Int J Recent Trends Sci Technol. 2016;20(2):188–90.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17. </w:t>
      </w:r>
      <w:r w:rsidRPr="00717FDE">
        <w:rPr>
          <w:rFonts w:ascii="Arial" w:hAnsi="Arial" w:cs="Arial"/>
          <w:noProof/>
          <w:sz w:val="22"/>
          <w:szCs w:val="24"/>
        </w:rPr>
        <w:tab/>
        <w:t xml:space="preserve">Sukardi. Metodologi Penelitian Pendidikan: Kompetensi dan Praktiknya. Jakarta: Bumi Aksara; 2003.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18. </w:t>
      </w:r>
      <w:r w:rsidRPr="00717FDE">
        <w:rPr>
          <w:rFonts w:ascii="Arial" w:hAnsi="Arial" w:cs="Arial"/>
          <w:noProof/>
          <w:sz w:val="22"/>
          <w:szCs w:val="24"/>
        </w:rPr>
        <w:tab/>
        <w:t xml:space="preserve">Kencana N, Pratama IGNP, Maulizar R, Wicaksono ME, Kurniawan AD. Sejarah Perkembangan Teorema Limit Pusat “Pierre-Simon, Marquis De LaPlace.” Yogyakarta: Fakultas Matematika dan Ilmu Pengetahuan Alam Universitas Gadjah Mada; 2013.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19. </w:t>
      </w:r>
      <w:r w:rsidRPr="00717FDE">
        <w:rPr>
          <w:rFonts w:ascii="Arial" w:hAnsi="Arial" w:cs="Arial"/>
          <w:noProof/>
          <w:sz w:val="22"/>
          <w:szCs w:val="24"/>
        </w:rPr>
        <w:tab/>
        <w:t xml:space="preserve">Locky S. HypnoGigi Terapan. Yogyakarta: Pohon Cahaya; 2017.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20. </w:t>
      </w:r>
      <w:r w:rsidRPr="00717FDE">
        <w:rPr>
          <w:rFonts w:ascii="Arial" w:hAnsi="Arial" w:cs="Arial"/>
          <w:noProof/>
          <w:sz w:val="22"/>
          <w:szCs w:val="24"/>
        </w:rPr>
        <w:tab/>
        <w:t xml:space="preserve">R.A. P, P. GJ. An Update On Age, Hypnotic Suggestibility, And Gender: A Brief Report. Am J Clin Hypn. 2007;49:283–7. </w:t>
      </w:r>
    </w:p>
    <w:p w:rsidR="00717FDE" w:rsidRPr="00717FDE" w:rsidRDefault="00717FDE" w:rsidP="00717FDE">
      <w:pPr>
        <w:widowControl w:val="0"/>
        <w:autoSpaceDE w:val="0"/>
        <w:autoSpaceDN w:val="0"/>
        <w:adjustRightInd w:val="0"/>
        <w:ind w:left="640" w:hanging="640"/>
        <w:rPr>
          <w:rFonts w:ascii="Arial" w:hAnsi="Arial" w:cs="Arial"/>
          <w:noProof/>
          <w:sz w:val="22"/>
          <w:szCs w:val="24"/>
        </w:rPr>
      </w:pPr>
      <w:r w:rsidRPr="00717FDE">
        <w:rPr>
          <w:rFonts w:ascii="Arial" w:hAnsi="Arial" w:cs="Arial"/>
          <w:noProof/>
          <w:sz w:val="22"/>
          <w:szCs w:val="24"/>
        </w:rPr>
        <w:t xml:space="preserve">21. </w:t>
      </w:r>
      <w:r w:rsidRPr="00717FDE">
        <w:rPr>
          <w:rFonts w:ascii="Arial" w:hAnsi="Arial" w:cs="Arial"/>
          <w:noProof/>
          <w:sz w:val="22"/>
          <w:szCs w:val="24"/>
        </w:rPr>
        <w:tab/>
        <w:t xml:space="preserve">Pascalis VD, Russo E. Hypnotizability, Hypnosis And Prepulse Inhibition Of The Startle Reflex In Healthy Women: An ERP Analysis. PLoS One. 2013;8(11):1–13. </w:t>
      </w:r>
    </w:p>
    <w:p w:rsidR="00717FDE" w:rsidRPr="00717FDE" w:rsidRDefault="00717FDE" w:rsidP="00717FDE">
      <w:pPr>
        <w:widowControl w:val="0"/>
        <w:autoSpaceDE w:val="0"/>
        <w:autoSpaceDN w:val="0"/>
        <w:adjustRightInd w:val="0"/>
        <w:ind w:left="640" w:hanging="640"/>
        <w:rPr>
          <w:rFonts w:ascii="Arial" w:hAnsi="Arial" w:cs="Arial"/>
          <w:noProof/>
          <w:sz w:val="22"/>
        </w:rPr>
      </w:pPr>
      <w:r w:rsidRPr="00717FDE">
        <w:rPr>
          <w:rFonts w:ascii="Arial" w:hAnsi="Arial" w:cs="Arial"/>
          <w:noProof/>
          <w:sz w:val="22"/>
          <w:szCs w:val="24"/>
        </w:rPr>
        <w:t xml:space="preserve">22. </w:t>
      </w:r>
      <w:r w:rsidRPr="00717FDE">
        <w:rPr>
          <w:rFonts w:ascii="Arial" w:hAnsi="Arial" w:cs="Arial"/>
          <w:noProof/>
          <w:sz w:val="22"/>
          <w:szCs w:val="24"/>
        </w:rPr>
        <w:tab/>
        <w:t xml:space="preserve">Locky S. Belajar Kilat Menjadi HypnoDentist. Yogyakarta: Pohon Cahaya; 2013. </w:t>
      </w:r>
    </w:p>
    <w:p w:rsidR="0015224E" w:rsidRPr="0026285B" w:rsidRDefault="003104E2" w:rsidP="0026285B">
      <w:pPr>
        <w:tabs>
          <w:tab w:val="left" w:pos="1695"/>
        </w:tabs>
        <w:rPr>
          <w:rFonts w:ascii="Arial" w:eastAsia="Arial" w:hAnsi="Arial" w:cs="Arial"/>
          <w:sz w:val="22"/>
          <w:szCs w:val="22"/>
        </w:rPr>
      </w:pPr>
      <w:r>
        <w:rPr>
          <w:rFonts w:ascii="Arial" w:eastAsia="Arial" w:hAnsi="Arial" w:cs="Arial"/>
          <w:sz w:val="22"/>
          <w:szCs w:val="22"/>
        </w:rPr>
        <w:fldChar w:fldCharType="end"/>
      </w:r>
    </w:p>
    <w:sectPr w:rsidR="0015224E" w:rsidRPr="0026285B" w:rsidSect="0026285B">
      <w:type w:val="continuous"/>
      <w:pgSz w:w="11907" w:h="16840"/>
      <w:pgMar w:top="1440" w:right="1440" w:bottom="1440" w:left="1440" w:header="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586" w:rsidRDefault="00DB3586">
      <w:r>
        <w:separator/>
      </w:r>
    </w:p>
  </w:endnote>
  <w:endnote w:type="continuationSeparator" w:id="0">
    <w:p w:rsidR="00DB3586" w:rsidRDefault="00DB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24E" w:rsidRDefault="0083302C">
    <w:pPr>
      <w:tabs>
        <w:tab w:val="left" w:pos="2992"/>
      </w:tabs>
      <w:spacing w:after="1134"/>
      <w:ind w:right="90"/>
      <w:rPr>
        <w:rFonts w:ascii="Arial" w:eastAsia="Arial" w:hAnsi="Arial" w:cs="Arial"/>
      </w:rPr>
    </w:pPr>
    <w:r>
      <w:rPr>
        <w:rFonts w:ascii="Arial Narrow" w:eastAsia="Arial Narrow" w:hAnsi="Arial Narrow" w:cs="Arial Narrow"/>
      </w:rPr>
      <w:t xml:space="preserve"> </w:t>
    </w:r>
    <w:r>
      <w:rPr>
        <w:rFonts w:ascii="Arial" w:eastAsia="Arial" w:hAnsi="Arial" w:cs="Arial"/>
        <w:b/>
      </w:rPr>
      <w:t xml:space="preserve">TELKOMNIKA </w:t>
    </w:r>
    <w:r>
      <w:rPr>
        <w:rFonts w:ascii="Arial" w:eastAsia="Arial" w:hAnsi="Arial" w:cs="Arial"/>
      </w:rPr>
      <w:t>Vol. 12, No. 4, April 2014:  xxx – xxx</w:t>
    </w:r>
    <w:r>
      <w:rPr>
        <w:noProof/>
      </w:rPr>
      <mc:AlternateContent>
        <mc:Choice Requires="wps">
          <w:drawing>
            <wp:anchor distT="0" distB="0" distL="114300" distR="114300" simplePos="0" relativeHeight="251660288" behindDoc="0" locked="0" layoutInCell="1" hidden="0" allowOverlap="1">
              <wp:simplePos x="0" y="0"/>
              <wp:positionH relativeFrom="margin">
                <wp:posOffset>-38099</wp:posOffset>
              </wp:positionH>
              <wp:positionV relativeFrom="paragraph">
                <wp:posOffset>-25399</wp:posOffset>
              </wp:positionV>
              <wp:extent cx="54705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5062776C" id="_x0000_t32" coordsize="21600,21600" o:spt="32" o:oned="t" path="m,l21600,21600e" filled="f">
              <v:path arrowok="t" fillok="f" o:connecttype="none"/>
              <o:lock v:ext="edit" shapetype="t"/>
            </v:shapetype>
            <v:shape id="Straight Arrow Connector 3" o:spid="_x0000_s1026" type="#_x0000_t32" style="position:absolute;margin-left:-3pt;margin-top:-2pt;width:430.75pt;height:1.7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" filled="t">
              <v:stroke startarrowwidth="narrow" startarrowlength="short" endarrowwidth="narrow" endarrowlength="short" miterlimit="5243f" joinstyle="miter"/>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24E" w:rsidRDefault="0015224E">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rebuchet MS" w:eastAsia="Trebuchet MS" w:hAnsi="Trebuchet MS" w:cs="Trebuchet MS"/>
        <w:b/>
        <w:i/>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586" w:rsidRDefault="00DB3586">
      <w:r>
        <w:separator/>
      </w:r>
    </w:p>
  </w:footnote>
  <w:footnote w:type="continuationSeparator" w:id="0">
    <w:p w:rsidR="00DB3586" w:rsidRDefault="00DB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24E" w:rsidRDefault="0083302C">
    <w:pPr>
      <w:spacing w:before="1134"/>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rsidR="0015224E" w:rsidRDefault="0083302C">
    <w:pPr>
      <w:tabs>
        <w:tab w:val="left" w:pos="2992"/>
        <w:tab w:val="right" w:pos="8505"/>
      </w:tabs>
    </w:pPr>
    <w:r>
      <w:t xml:space="preserve">             </w:t>
    </w:r>
    <w:r>
      <w:rPr>
        <w:rFonts w:ascii="Noto Sans Symbols" w:eastAsia="Noto Sans Symbols" w:hAnsi="Noto Sans Symbols" w:cs="Noto Sans Symbols"/>
      </w:rPr>
      <w:t>■</w:t>
    </w:r>
    <w:r>
      <w:tab/>
      <w:t xml:space="preserve"> </w:t>
    </w:r>
    <w:r>
      <w:tab/>
      <w:t xml:space="preserve">       </w:t>
    </w:r>
    <w:r>
      <w:rPr>
        <w:rFonts w:ascii="Arial" w:eastAsia="Arial" w:hAnsi="Arial" w:cs="Arial"/>
      </w:rPr>
      <w:t>ISSN: 2302-4046</w:t>
    </w:r>
    <w:r>
      <w:rPr>
        <w:noProof/>
      </w:rPr>
      <mc:AlternateContent>
        <mc:Choice Requires="wps">
          <w:drawing>
            <wp:anchor distT="0" distB="0" distL="114300" distR="114300" simplePos="0" relativeHeight="251658240" behindDoc="0" locked="0" layoutInCell="1" hidden="0" allowOverlap="1">
              <wp:simplePos x="0" y="0"/>
              <wp:positionH relativeFrom="margin">
                <wp:posOffset>0</wp:posOffset>
              </wp:positionH>
              <wp:positionV relativeFrom="paragraph">
                <wp:posOffset>165100</wp:posOffset>
              </wp:positionV>
              <wp:extent cx="54705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76852221" id="_x0000_t32" coordsize="21600,21600" o:spt="32" o:oned="t" path="m,l21600,21600e" filled="f">
              <v:path arrowok="t" fillok="f" o:connecttype="none"/>
              <o:lock v:ext="edit" shapetype="t"/>
            </v:shapetype>
            <v:shape id="Straight Arrow Connector 2" o:spid="_x0000_s1026" type="#_x0000_t32" style="position:absolute;margin-left:0;margin-top:13pt;width:430.75pt;height:1.7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" filled="t">
              <v:stroke startarrowwidth="narrow" startarrowlength="short" endarrowwidth="narrow" endarrowlength="short" miterlimit="5243f" joinstyle="miter"/>
              <w10:wrap anchorx="margin"/>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margin">
                <wp:posOffset>0</wp:posOffset>
              </wp:positionH>
              <wp:positionV relativeFrom="paragraph">
                <wp:posOffset>165100</wp:posOffset>
              </wp:positionV>
              <wp:extent cx="54705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50618162" id="Straight Arrow Connector 4" o:spid="_x0000_s1026" type="#_x0000_t32" style="position:absolute;margin-left:0;margin-top:13pt;width:430.75pt;height:1.7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" filled="t">
              <v:stroke startarrowwidth="narrow" startarrowlength="short" endarrowwidth="narrow" endarrowlength="short" miterlimit="5243f" joinstyle="miter"/>
              <w10:wrap anchorx="margin"/>
            </v:shape>
          </w:pict>
        </mc:Fallback>
      </mc:AlternateContent>
    </w:r>
  </w:p>
  <w:p w:rsidR="0015224E" w:rsidRDefault="0083302C">
    <w:pPr>
      <w:tabs>
        <w:tab w:val="left" w:pos="2992"/>
        <w:tab w:val="right" w:pos="8505"/>
      </w:tabs>
    </w:pP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814C2"/>
    <w:multiLevelType w:val="multilevel"/>
    <w:tmpl w:val="F168B326"/>
    <w:lvl w:ilvl="0">
      <w:start w:val="1"/>
      <w:numFmt w:val="decimal"/>
      <w:lvlText w:val="%1."/>
      <w:lvlJc w:val="left"/>
      <w:pPr>
        <w:ind w:left="285" w:hanging="375"/>
      </w:pPr>
      <w:rPr>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4E"/>
    <w:rsid w:val="00013C50"/>
    <w:rsid w:val="0015224E"/>
    <w:rsid w:val="00200E59"/>
    <w:rsid w:val="00261993"/>
    <w:rsid w:val="0026285B"/>
    <w:rsid w:val="003104E2"/>
    <w:rsid w:val="003A08C8"/>
    <w:rsid w:val="00501CE9"/>
    <w:rsid w:val="005256F0"/>
    <w:rsid w:val="00717FDE"/>
    <w:rsid w:val="007643DA"/>
    <w:rsid w:val="00790E26"/>
    <w:rsid w:val="007914D9"/>
    <w:rsid w:val="0083302C"/>
    <w:rsid w:val="008A28D9"/>
    <w:rsid w:val="00912404"/>
    <w:rsid w:val="00A5662E"/>
    <w:rsid w:val="00A95F79"/>
    <w:rsid w:val="00C552A9"/>
    <w:rsid w:val="00DB3586"/>
    <w:rsid w:val="00E7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A8A4C5-062B-4047-A498-1FED8A77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bstrak">
    <w:name w:val="Abstrak"/>
    <w:basedOn w:val="Normal"/>
    <w:qFormat/>
    <w:rsid w:val="00013C50"/>
    <w:pPr>
      <w:pBdr>
        <w:top w:val="none" w:sz="0" w:space="0" w:color="auto"/>
        <w:left w:val="none" w:sz="0" w:space="0" w:color="auto"/>
        <w:bottom w:val="none" w:sz="0" w:space="0" w:color="auto"/>
        <w:right w:val="none" w:sz="0" w:space="0" w:color="auto"/>
        <w:between w:val="none" w:sz="0" w:space="0" w:color="auto"/>
      </w:pBdr>
      <w:spacing w:after="120" w:line="360" w:lineRule="auto"/>
      <w:ind w:firstLine="720"/>
      <w:contextualSpacing/>
      <w:jc w:val="both"/>
    </w:pPr>
    <w:rPr>
      <w:rFonts w:eastAsiaTheme="minorHAnsi" w:cstheme="minorBidi"/>
      <w:color w:val="auto"/>
      <w:sz w:val="22"/>
      <w:szCs w:val="22"/>
    </w:rPr>
  </w:style>
  <w:style w:type="character" w:styleId="FootnoteReference">
    <w:name w:val="footnote reference"/>
    <w:basedOn w:val="DefaultParagraphFont"/>
    <w:uiPriority w:val="99"/>
    <w:semiHidden/>
    <w:unhideWhenUsed/>
    <w:rsid w:val="00013C50"/>
    <w:rPr>
      <w:vertAlign w:val="superscript"/>
    </w:rPr>
  </w:style>
  <w:style w:type="character" w:styleId="SubtleEmphasis">
    <w:name w:val="Subtle Emphasis"/>
    <w:basedOn w:val="DefaultParagraphFont"/>
    <w:uiPriority w:val="19"/>
    <w:qFormat/>
    <w:rsid w:val="00013C50"/>
    <w:rPr>
      <w:i/>
      <w:iCs/>
      <w:color w:val="808080" w:themeColor="text1" w:themeTint="7F"/>
    </w:rPr>
  </w:style>
  <w:style w:type="paragraph" w:styleId="ListParagraph">
    <w:name w:val="List Paragraph"/>
    <w:basedOn w:val="Normal"/>
    <w:uiPriority w:val="34"/>
    <w:qFormat/>
    <w:rsid w:val="00013C50"/>
    <w:pPr>
      <w:pBdr>
        <w:top w:val="none" w:sz="0" w:space="0" w:color="auto"/>
        <w:left w:val="none" w:sz="0" w:space="0" w:color="auto"/>
        <w:bottom w:val="none" w:sz="0" w:space="0" w:color="auto"/>
        <w:right w:val="none" w:sz="0" w:space="0" w:color="auto"/>
        <w:between w:val="none" w:sz="0" w:space="0" w:color="auto"/>
      </w:pBdr>
      <w:ind w:left="720"/>
      <w:contextualSpacing/>
    </w:pPr>
    <w:rPr>
      <w:color w:val="auto"/>
      <w:lang w:val="id-ID" w:eastAsia="id-ID"/>
    </w:rPr>
  </w:style>
  <w:style w:type="paragraph" w:styleId="NoSpacing">
    <w:name w:val="No Spacing"/>
    <w:uiPriority w:val="1"/>
    <w:qFormat/>
    <w:rsid w:val="00013C50"/>
    <w:pPr>
      <w:pBdr>
        <w:top w:val="none" w:sz="0" w:space="0" w:color="auto"/>
        <w:left w:val="none" w:sz="0" w:space="0" w:color="auto"/>
        <w:bottom w:val="none" w:sz="0" w:space="0" w:color="auto"/>
        <w:right w:val="none" w:sz="0" w:space="0" w:color="auto"/>
        <w:between w:val="none" w:sz="0" w:space="0" w:color="auto"/>
      </w:pBdr>
    </w:pPr>
    <w:rPr>
      <w:rFonts w:ascii="Calibri" w:hAnsi="Calibri"/>
      <w:color w:val="auto"/>
      <w:sz w:val="22"/>
      <w:szCs w:val="22"/>
      <w:lang w:val="id-ID" w:eastAsia="id-ID"/>
    </w:rPr>
  </w:style>
  <w:style w:type="character" w:styleId="Hyperlink">
    <w:name w:val="Hyperlink"/>
    <w:basedOn w:val="DefaultParagraphFont"/>
    <w:uiPriority w:val="99"/>
    <w:unhideWhenUsed/>
    <w:rsid w:val="008A28D9"/>
    <w:rPr>
      <w:color w:val="0000FF" w:themeColor="hyperlink"/>
      <w:u w:val="single"/>
    </w:rPr>
  </w:style>
  <w:style w:type="character" w:styleId="UnresolvedMention">
    <w:name w:val="Unresolved Mention"/>
    <w:basedOn w:val="DefaultParagraphFont"/>
    <w:uiPriority w:val="99"/>
    <w:semiHidden/>
    <w:unhideWhenUsed/>
    <w:rsid w:val="008A28D9"/>
    <w:rPr>
      <w:color w:val="605E5C"/>
      <w:shd w:val="clear" w:color="auto" w:fill="E1DFDD"/>
    </w:rPr>
  </w:style>
  <w:style w:type="character" w:customStyle="1" w:styleId="TitleChar">
    <w:name w:val="Title Char"/>
    <w:basedOn w:val="DefaultParagraphFont"/>
    <w:link w:val="Title"/>
    <w:rsid w:val="0026199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337171">
      <w:bodyDiv w:val="1"/>
      <w:marLeft w:val="0"/>
      <w:marRight w:val="0"/>
      <w:marTop w:val="0"/>
      <w:marBottom w:val="0"/>
      <w:divBdr>
        <w:top w:val="none" w:sz="0" w:space="0" w:color="auto"/>
        <w:left w:val="none" w:sz="0" w:space="0" w:color="auto"/>
        <w:bottom w:val="none" w:sz="0" w:space="0" w:color="auto"/>
        <w:right w:val="none" w:sz="0" w:space="0" w:color="auto"/>
      </w:divBdr>
    </w:div>
    <w:div w:id="195975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C944E-E082-4C23-A371-CA046D8C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6360</Words>
  <Characters>36257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2018-06-05T12:38:00Z</dcterms:created>
  <dcterms:modified xsi:type="dcterms:W3CDTF">2018-08-07T14:02:00Z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a79fe0a5-d789-34a1-a208-935a2ddb086b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