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5DB6" w:rsidRPr="00691556" w:rsidRDefault="00235DB6" w:rsidP="00A1270A">
      <w:pPr>
        <w:spacing w:after="0" w:line="240" w:lineRule="auto"/>
        <w:rPr>
          <w:rFonts w:ascii="Trebuchet MS" w:hAnsi="Trebuchet MS" w:cs="Times New Roman"/>
          <w:b/>
          <w:sz w:val="28"/>
          <w:szCs w:val="28"/>
        </w:rPr>
      </w:pPr>
      <w:bookmarkStart w:id="0" w:name="_GoBack"/>
      <w:bookmarkEnd w:id="0"/>
      <w:r w:rsidRPr="00691556">
        <w:rPr>
          <w:rFonts w:ascii="Trebuchet MS" w:hAnsi="Trebuchet MS" w:cs="Times New Roman"/>
          <w:b/>
          <w:sz w:val="28"/>
          <w:szCs w:val="28"/>
        </w:rPr>
        <w:t>E</w:t>
      </w:r>
      <w:r w:rsidR="00185D5C">
        <w:rPr>
          <w:rFonts w:ascii="Trebuchet MS" w:hAnsi="Trebuchet MS" w:cs="Giovanni-Book"/>
          <w:b/>
          <w:sz w:val="28"/>
          <w:szCs w:val="28"/>
        </w:rPr>
        <w:t>tiopathogenesis</w:t>
      </w:r>
      <w:r w:rsidRPr="00691556">
        <w:rPr>
          <w:rFonts w:ascii="Trebuchet MS" w:hAnsi="Trebuchet MS" w:cs="Giovanni-Book"/>
          <w:b/>
          <w:sz w:val="28"/>
          <w:szCs w:val="28"/>
        </w:rPr>
        <w:t xml:space="preserve"> </w:t>
      </w:r>
      <w:r w:rsidR="00410EDD" w:rsidRPr="00691556">
        <w:rPr>
          <w:rFonts w:ascii="Trebuchet MS" w:hAnsi="Trebuchet MS" w:cs="Giovanni-Book"/>
          <w:b/>
          <w:sz w:val="28"/>
          <w:szCs w:val="28"/>
        </w:rPr>
        <w:t xml:space="preserve">and treatment a rare case </w:t>
      </w:r>
      <w:r w:rsidRPr="00691556">
        <w:rPr>
          <w:rFonts w:ascii="Trebuchet MS" w:hAnsi="Trebuchet MS" w:cs="Times New Roman"/>
          <w:b/>
          <w:sz w:val="28"/>
          <w:szCs w:val="28"/>
        </w:rPr>
        <w:t xml:space="preserve">of multiple sialolithiasis </w:t>
      </w:r>
      <w:r w:rsidR="00CE2501" w:rsidRPr="00691556">
        <w:rPr>
          <w:rFonts w:ascii="Trebuchet MS" w:hAnsi="Trebuchet MS" w:cs="Times New Roman"/>
          <w:b/>
          <w:sz w:val="28"/>
          <w:szCs w:val="28"/>
        </w:rPr>
        <w:t>submandibula</w:t>
      </w:r>
      <w:r w:rsidR="004F2BCA" w:rsidRPr="00691556">
        <w:rPr>
          <w:rFonts w:ascii="Trebuchet MS" w:hAnsi="Trebuchet MS" w:cs="Times New Roman"/>
          <w:b/>
          <w:sz w:val="28"/>
          <w:szCs w:val="28"/>
        </w:rPr>
        <w:t>r</w:t>
      </w:r>
      <w:r w:rsidR="009575FB" w:rsidRPr="00691556">
        <w:rPr>
          <w:rFonts w:ascii="Trebuchet MS" w:hAnsi="Trebuchet MS" w:cs="Times New Roman"/>
          <w:b/>
          <w:sz w:val="28"/>
          <w:szCs w:val="28"/>
        </w:rPr>
        <w:t xml:space="preserve"> gland : </w:t>
      </w:r>
      <w:r w:rsidRPr="00691556">
        <w:rPr>
          <w:rFonts w:ascii="Trebuchet MS" w:hAnsi="Trebuchet MS" w:cs="Times New Roman"/>
          <w:b/>
          <w:sz w:val="28"/>
          <w:szCs w:val="28"/>
        </w:rPr>
        <w:t>case report</w:t>
      </w:r>
    </w:p>
    <w:p w:rsidR="00080602" w:rsidRPr="00691556" w:rsidRDefault="00080602" w:rsidP="00235DB6">
      <w:pPr>
        <w:spacing w:after="0" w:line="276" w:lineRule="auto"/>
        <w:rPr>
          <w:rFonts w:ascii="Trebuchet MS" w:hAnsi="Trebuchet MS" w:cs="Times New Roman"/>
          <w:b/>
          <w:sz w:val="32"/>
          <w:szCs w:val="32"/>
        </w:rPr>
      </w:pPr>
    </w:p>
    <w:p w:rsidR="005F05ED" w:rsidRPr="00691556" w:rsidRDefault="00E3500C" w:rsidP="003D46DE">
      <w:pPr>
        <w:spacing w:after="0" w:line="276" w:lineRule="auto"/>
        <w:rPr>
          <w:rFonts w:ascii="Trebuchet MS" w:hAnsi="Trebuchet MS" w:cs="Times New Roman"/>
          <w:b/>
          <w:sz w:val="24"/>
          <w:szCs w:val="24"/>
        </w:rPr>
      </w:pPr>
      <w:r w:rsidRPr="00691556">
        <w:rPr>
          <w:rFonts w:ascii="Trebuchet MS" w:hAnsi="Trebuchet MS" w:cs="Times New Roman"/>
          <w:b/>
          <w:sz w:val="24"/>
          <w:szCs w:val="24"/>
        </w:rPr>
        <w:t>Nyoman Ayu Anggayanti</w:t>
      </w:r>
      <w:r w:rsidRPr="00691556">
        <w:rPr>
          <w:rFonts w:ascii="Trebuchet MS" w:hAnsi="Trebuchet MS" w:cs="Times New Roman"/>
          <w:b/>
          <w:sz w:val="24"/>
          <w:szCs w:val="24"/>
          <w:vertAlign w:val="superscript"/>
        </w:rPr>
        <w:t>1</w:t>
      </w:r>
      <w:r w:rsidRPr="00691556">
        <w:rPr>
          <w:rFonts w:ascii="Trebuchet MS" w:hAnsi="Trebuchet MS" w:cs="Times New Roman"/>
          <w:b/>
          <w:sz w:val="24"/>
          <w:szCs w:val="24"/>
        </w:rPr>
        <w:t>, Endang Sjamsudin</w:t>
      </w:r>
      <w:r w:rsidRPr="00691556">
        <w:rPr>
          <w:rFonts w:ascii="Trebuchet MS" w:hAnsi="Trebuchet MS" w:cs="Times New Roman"/>
          <w:b/>
          <w:sz w:val="24"/>
          <w:szCs w:val="24"/>
          <w:vertAlign w:val="superscript"/>
        </w:rPr>
        <w:t>2</w:t>
      </w:r>
      <w:r w:rsidRPr="00691556">
        <w:rPr>
          <w:rFonts w:ascii="Trebuchet MS" w:hAnsi="Trebuchet MS" w:cs="Times New Roman"/>
          <w:b/>
          <w:sz w:val="24"/>
          <w:szCs w:val="24"/>
        </w:rPr>
        <w:t>, Melita Sylvyana</w:t>
      </w:r>
      <w:r w:rsidRPr="00691556">
        <w:rPr>
          <w:rFonts w:ascii="Trebuchet MS" w:hAnsi="Trebuchet MS" w:cs="Times New Roman"/>
          <w:b/>
          <w:sz w:val="24"/>
          <w:szCs w:val="24"/>
          <w:vertAlign w:val="superscript"/>
        </w:rPr>
        <w:t>2</w:t>
      </w:r>
    </w:p>
    <w:p w:rsidR="005F05ED" w:rsidRPr="00691556" w:rsidRDefault="005F05ED" w:rsidP="003D46DE">
      <w:pPr>
        <w:spacing w:after="0" w:line="276" w:lineRule="auto"/>
        <w:jc w:val="center"/>
        <w:rPr>
          <w:rFonts w:ascii="Times New Roman" w:hAnsi="Times New Roman" w:cs="Times New Roman"/>
          <w:b/>
          <w:szCs w:val="24"/>
        </w:rPr>
      </w:pPr>
    </w:p>
    <w:p w:rsidR="005F05ED" w:rsidRPr="00691556" w:rsidRDefault="00E3500C" w:rsidP="00A1270A">
      <w:pPr>
        <w:spacing w:after="0" w:line="240" w:lineRule="auto"/>
        <w:ind w:left="270" w:hanging="270"/>
        <w:rPr>
          <w:rFonts w:ascii="Trebuchet MS" w:hAnsi="Trebuchet MS" w:cs="Times New Roman"/>
          <w:b/>
          <w:sz w:val="20"/>
          <w:szCs w:val="24"/>
        </w:rPr>
      </w:pPr>
      <w:r w:rsidRPr="00691556">
        <w:rPr>
          <w:rFonts w:ascii="Trebuchet MS" w:hAnsi="Trebuchet MS" w:cs="Times New Roman"/>
          <w:b/>
          <w:sz w:val="20"/>
          <w:szCs w:val="24"/>
        </w:rPr>
        <w:t>1. Resident Of Oral And Maxill</w:t>
      </w:r>
      <w:r w:rsidR="003D46DE" w:rsidRPr="00691556">
        <w:rPr>
          <w:rFonts w:ascii="Trebuchet MS" w:hAnsi="Trebuchet MS" w:cs="Times New Roman"/>
          <w:b/>
          <w:sz w:val="20"/>
          <w:szCs w:val="24"/>
        </w:rPr>
        <w:t>ofacial Surgery Department, RSUP</w:t>
      </w:r>
      <w:r w:rsidRPr="00691556">
        <w:rPr>
          <w:rFonts w:ascii="Trebuchet MS" w:hAnsi="Trebuchet MS" w:cs="Times New Roman"/>
          <w:b/>
          <w:sz w:val="20"/>
          <w:szCs w:val="24"/>
        </w:rPr>
        <w:t xml:space="preserve"> Dr. Hasan Sadikin, Faculty Of Dentistry, Universitas Padjadjaran, Bandung, Indonesia.</w:t>
      </w:r>
    </w:p>
    <w:p w:rsidR="00CD43B8" w:rsidRPr="00691556" w:rsidRDefault="00E3500C" w:rsidP="00A1270A">
      <w:pPr>
        <w:spacing w:after="0" w:line="240" w:lineRule="auto"/>
        <w:ind w:left="270" w:hanging="270"/>
        <w:rPr>
          <w:rFonts w:ascii="Trebuchet MS" w:hAnsi="Trebuchet MS" w:cs="Times New Roman"/>
          <w:b/>
          <w:sz w:val="20"/>
          <w:szCs w:val="24"/>
        </w:rPr>
      </w:pPr>
      <w:r w:rsidRPr="00691556">
        <w:rPr>
          <w:rFonts w:ascii="Trebuchet MS" w:hAnsi="Trebuchet MS" w:cs="Times New Roman"/>
          <w:b/>
          <w:sz w:val="20"/>
          <w:szCs w:val="24"/>
        </w:rPr>
        <w:t>2. Staff Of Oral And Maxill</w:t>
      </w:r>
      <w:r w:rsidR="003D46DE" w:rsidRPr="00691556">
        <w:rPr>
          <w:rFonts w:ascii="Trebuchet MS" w:hAnsi="Trebuchet MS" w:cs="Times New Roman"/>
          <w:b/>
          <w:sz w:val="20"/>
          <w:szCs w:val="24"/>
        </w:rPr>
        <w:t>ofacial Surgery Department, RSUP</w:t>
      </w:r>
      <w:r w:rsidRPr="00691556">
        <w:rPr>
          <w:rFonts w:ascii="Trebuchet MS" w:hAnsi="Trebuchet MS" w:cs="Times New Roman"/>
          <w:b/>
          <w:sz w:val="20"/>
          <w:szCs w:val="24"/>
        </w:rPr>
        <w:t xml:space="preserve"> Dr. Hasan Sadikin, Faculty Of Dentistry, Universitas Padjadjaran, Bandung, Indonesia.</w:t>
      </w:r>
    </w:p>
    <w:p w:rsidR="005F05ED" w:rsidRPr="006521E2" w:rsidRDefault="005F05ED" w:rsidP="003D46DE">
      <w:pPr>
        <w:spacing w:after="0" w:line="276" w:lineRule="auto"/>
        <w:jc w:val="center"/>
        <w:rPr>
          <w:rFonts w:ascii="Times New Roman" w:hAnsi="Times New Roman" w:cs="Times New Roman"/>
          <w:sz w:val="24"/>
          <w:szCs w:val="24"/>
        </w:rPr>
      </w:pPr>
    </w:p>
    <w:p w:rsidR="00647C0E" w:rsidRDefault="00E3500C" w:rsidP="003420AF">
      <w:pPr>
        <w:autoSpaceDE w:val="0"/>
        <w:autoSpaceDN w:val="0"/>
        <w:adjustRightInd w:val="0"/>
        <w:spacing w:after="0" w:line="240" w:lineRule="auto"/>
        <w:jc w:val="both"/>
        <w:rPr>
          <w:rFonts w:ascii="Trebuchet MS" w:hAnsi="Trebuchet MS" w:cs="Myriad Pro"/>
          <w:color w:val="000000"/>
          <w:sz w:val="20"/>
          <w:szCs w:val="20"/>
        </w:rPr>
      </w:pPr>
      <w:r w:rsidRPr="0043335F">
        <w:rPr>
          <w:rFonts w:ascii="Trebuchet MS" w:hAnsi="Trebuchet MS" w:cs="Times New Roman"/>
          <w:b/>
          <w:sz w:val="20"/>
          <w:szCs w:val="20"/>
        </w:rPr>
        <w:t>Introduction</w:t>
      </w:r>
      <w:r w:rsidR="00647C0E">
        <w:rPr>
          <w:rFonts w:ascii="Trebuchet MS" w:hAnsi="Trebuchet MS" w:cs="Times New Roman"/>
          <w:b/>
          <w:sz w:val="20"/>
          <w:szCs w:val="20"/>
        </w:rPr>
        <w:t xml:space="preserve">: </w:t>
      </w:r>
      <w:r w:rsidR="003D46DE" w:rsidRPr="0043335F">
        <w:rPr>
          <w:rFonts w:ascii="Trebuchet MS" w:hAnsi="Trebuchet MS" w:cs="Myriad Pro"/>
          <w:color w:val="000000"/>
          <w:sz w:val="20"/>
          <w:szCs w:val="20"/>
        </w:rPr>
        <w:t xml:space="preserve">Sialolithiasis is a common disease of the salivary glands. </w:t>
      </w:r>
      <w:r w:rsidR="0043335F" w:rsidRPr="0043335F">
        <w:rPr>
          <w:rFonts w:ascii="Trebuchet MS" w:hAnsi="Trebuchet MS" w:cs="TimesNRMT"/>
          <w:color w:val="000000"/>
          <w:sz w:val="20"/>
          <w:szCs w:val="20"/>
        </w:rPr>
        <w:t>Symptoms include swelling of the involved gland, especially during m</w:t>
      </w:r>
      <w:r w:rsidR="009575FB">
        <w:rPr>
          <w:rFonts w:ascii="Trebuchet MS" w:hAnsi="Trebuchet MS" w:cs="TimesNRMT"/>
          <w:color w:val="000000"/>
          <w:sz w:val="20"/>
          <w:szCs w:val="20"/>
        </w:rPr>
        <w:t xml:space="preserve">eals </w:t>
      </w:r>
      <w:r w:rsidR="0043335F" w:rsidRPr="0043335F">
        <w:rPr>
          <w:rFonts w:ascii="Trebuchet MS" w:hAnsi="Trebuchet MS" w:cs="TimesNRMT"/>
          <w:color w:val="000000"/>
          <w:sz w:val="20"/>
          <w:szCs w:val="20"/>
        </w:rPr>
        <w:t>and tenderness, which may subside but recur later</w:t>
      </w:r>
      <w:r w:rsidR="0043335F">
        <w:rPr>
          <w:rFonts w:ascii="Trebuchet MS" w:hAnsi="Trebuchet MS" w:cs="TimesNRMT"/>
          <w:color w:val="000080"/>
          <w:sz w:val="20"/>
          <w:szCs w:val="20"/>
        </w:rPr>
        <w:t xml:space="preserve">. </w:t>
      </w:r>
      <w:r w:rsidR="003D46DE" w:rsidRPr="0043335F">
        <w:rPr>
          <w:rFonts w:ascii="Trebuchet MS" w:hAnsi="Trebuchet MS" w:cs="Myriad Pro"/>
          <w:color w:val="000000"/>
          <w:sz w:val="20"/>
          <w:szCs w:val="20"/>
        </w:rPr>
        <w:t>Sialolithiasis oc</w:t>
      </w:r>
      <w:r w:rsidR="00CE2501">
        <w:rPr>
          <w:rFonts w:ascii="Trebuchet MS" w:hAnsi="Trebuchet MS" w:cs="Myriad Pro"/>
          <w:color w:val="000000"/>
          <w:sz w:val="20"/>
          <w:szCs w:val="20"/>
        </w:rPr>
        <w:t>curs mainly in the submandibula</w:t>
      </w:r>
      <w:r w:rsidR="004F2BCA">
        <w:rPr>
          <w:rFonts w:ascii="Trebuchet MS" w:hAnsi="Trebuchet MS" w:cs="Myriad Pro"/>
          <w:color w:val="000000"/>
          <w:sz w:val="20"/>
          <w:szCs w:val="20"/>
        </w:rPr>
        <w:t>r</w:t>
      </w:r>
      <w:r w:rsidR="003D46DE" w:rsidRPr="0043335F">
        <w:rPr>
          <w:rFonts w:ascii="Trebuchet MS" w:hAnsi="Trebuchet MS" w:cs="Myriad Pro"/>
          <w:color w:val="000000"/>
          <w:sz w:val="20"/>
          <w:szCs w:val="20"/>
        </w:rPr>
        <w:t xml:space="preserve"> gland (80–90%) and to a lesser extent in the parotid gland (5–20%). Sialoliths may be single or multiple. Multiple sialolith</w:t>
      </w:r>
      <w:r w:rsidR="00D42588">
        <w:rPr>
          <w:rFonts w:ascii="Trebuchet MS" w:hAnsi="Trebuchet MS" w:cs="Myriad Pro"/>
          <w:color w:val="000000"/>
          <w:sz w:val="20"/>
          <w:szCs w:val="20"/>
        </w:rPr>
        <w:t>iasis</w:t>
      </w:r>
      <w:r w:rsidR="00CE2501">
        <w:rPr>
          <w:rFonts w:ascii="Trebuchet MS" w:hAnsi="Trebuchet MS" w:cs="Myriad Pro"/>
          <w:color w:val="000000"/>
          <w:sz w:val="20"/>
          <w:szCs w:val="20"/>
        </w:rPr>
        <w:t xml:space="preserve"> in the submandibula</w:t>
      </w:r>
      <w:r w:rsidR="004F2BCA">
        <w:rPr>
          <w:rFonts w:ascii="Trebuchet MS" w:hAnsi="Trebuchet MS" w:cs="Myriad Pro"/>
          <w:color w:val="000000"/>
          <w:sz w:val="20"/>
          <w:szCs w:val="20"/>
        </w:rPr>
        <w:t>r</w:t>
      </w:r>
      <w:r w:rsidR="003D46DE" w:rsidRPr="0043335F">
        <w:rPr>
          <w:rFonts w:ascii="Trebuchet MS" w:hAnsi="Trebuchet MS" w:cs="Myriad Pro"/>
          <w:color w:val="000000"/>
          <w:sz w:val="20"/>
          <w:szCs w:val="20"/>
        </w:rPr>
        <w:t xml:space="preserve"> gland are rare. Seventy to 80% o</w:t>
      </w:r>
      <w:r w:rsidR="00D42588">
        <w:rPr>
          <w:rFonts w:ascii="Trebuchet MS" w:hAnsi="Trebuchet MS" w:cs="Myriad Pro"/>
          <w:color w:val="000000"/>
          <w:sz w:val="20"/>
          <w:szCs w:val="20"/>
        </w:rPr>
        <w:t>f cases feature solitary stones,</w:t>
      </w:r>
      <w:r w:rsidR="003D46DE" w:rsidRPr="0043335F">
        <w:rPr>
          <w:rFonts w:ascii="Trebuchet MS" w:hAnsi="Trebuchet MS" w:cs="Myriad Pro"/>
          <w:color w:val="000000"/>
          <w:sz w:val="20"/>
          <w:szCs w:val="20"/>
        </w:rPr>
        <w:t xml:space="preserve"> only about 5% of patients have three o</w:t>
      </w:r>
      <w:r w:rsidR="003420AF">
        <w:rPr>
          <w:rFonts w:ascii="Trebuchet MS" w:hAnsi="Trebuchet MS" w:cs="Myriad Pro"/>
          <w:color w:val="000000"/>
          <w:sz w:val="20"/>
          <w:szCs w:val="20"/>
        </w:rPr>
        <w:t>r more stones</w:t>
      </w:r>
      <w:r w:rsidR="003D46DE" w:rsidRPr="0043335F">
        <w:rPr>
          <w:rFonts w:ascii="Trebuchet MS" w:hAnsi="Trebuchet MS" w:cs="Myriad Pro"/>
          <w:color w:val="000000"/>
          <w:sz w:val="20"/>
          <w:szCs w:val="20"/>
        </w:rPr>
        <w:t>.</w:t>
      </w:r>
      <w:r w:rsidR="0043335F" w:rsidRPr="0043335F">
        <w:rPr>
          <w:rFonts w:ascii="Giovanni-Book" w:hAnsi="Giovanni-Book" w:cs="Giovanni-Book"/>
          <w:sz w:val="17"/>
          <w:szCs w:val="17"/>
        </w:rPr>
        <w:t xml:space="preserve"> </w:t>
      </w:r>
      <w:r w:rsidR="003420AF">
        <w:rPr>
          <w:rFonts w:ascii="Trebuchet MS" w:hAnsi="Trebuchet MS" w:cs="Giovanni-Book"/>
          <w:sz w:val="20"/>
          <w:szCs w:val="20"/>
        </w:rPr>
        <w:t>E</w:t>
      </w:r>
      <w:r w:rsidR="00A12C5E">
        <w:rPr>
          <w:rFonts w:ascii="Trebuchet MS" w:hAnsi="Trebuchet MS" w:cs="Giovanni-Book"/>
          <w:sz w:val="20"/>
          <w:szCs w:val="20"/>
        </w:rPr>
        <w:t xml:space="preserve">tiopathogenesis </w:t>
      </w:r>
      <w:r w:rsidR="0043335F" w:rsidRPr="0043335F">
        <w:rPr>
          <w:rFonts w:ascii="Trebuchet MS" w:hAnsi="Trebuchet MS" w:cs="Giovanni-Book"/>
          <w:sz w:val="20"/>
          <w:szCs w:val="20"/>
        </w:rPr>
        <w:t>factors</w:t>
      </w:r>
      <w:r w:rsidR="0043335F">
        <w:rPr>
          <w:rFonts w:ascii="Trebuchet MS" w:hAnsi="Trebuchet MS" w:cs="Giovanni-Book"/>
          <w:sz w:val="20"/>
          <w:szCs w:val="20"/>
        </w:rPr>
        <w:t xml:space="preserve"> </w:t>
      </w:r>
      <w:r w:rsidR="0043335F" w:rsidRPr="0043335F">
        <w:rPr>
          <w:rFonts w:ascii="Trebuchet MS" w:hAnsi="Trebuchet MS" w:cs="Giovanni-Book"/>
          <w:sz w:val="20"/>
          <w:szCs w:val="20"/>
        </w:rPr>
        <w:t>associated with stone formation are obstruction, reduced salivary</w:t>
      </w:r>
      <w:r w:rsidR="0043335F">
        <w:rPr>
          <w:rFonts w:ascii="Trebuchet MS" w:hAnsi="Trebuchet MS" w:cs="Giovanni-Book"/>
          <w:sz w:val="20"/>
          <w:szCs w:val="20"/>
        </w:rPr>
        <w:t xml:space="preserve"> </w:t>
      </w:r>
      <w:r w:rsidR="0043335F" w:rsidRPr="0043335F">
        <w:rPr>
          <w:rFonts w:ascii="Trebuchet MS" w:hAnsi="Trebuchet MS" w:cs="Giovanni-Book"/>
          <w:sz w:val="20"/>
          <w:szCs w:val="20"/>
        </w:rPr>
        <w:t>flow rate, d</w:t>
      </w:r>
      <w:r w:rsidR="00410EDD">
        <w:rPr>
          <w:rFonts w:ascii="Trebuchet MS" w:hAnsi="Trebuchet MS" w:cs="Giovanni-Book"/>
          <w:sz w:val="20"/>
          <w:szCs w:val="20"/>
        </w:rPr>
        <w:t>ehydration, infection of salivary gland</w:t>
      </w:r>
      <w:r w:rsidR="0043335F" w:rsidRPr="0043335F">
        <w:rPr>
          <w:rFonts w:ascii="Trebuchet MS" w:hAnsi="Trebuchet MS" w:cs="Giovanni-Book"/>
          <w:sz w:val="20"/>
          <w:szCs w:val="20"/>
        </w:rPr>
        <w:t xml:space="preserve">, and impaired crystalloid </w:t>
      </w:r>
      <w:r w:rsidR="0043335F">
        <w:rPr>
          <w:rFonts w:ascii="Trebuchet MS" w:hAnsi="Trebuchet MS" w:cs="Giovanni-Book"/>
          <w:sz w:val="20"/>
          <w:szCs w:val="20"/>
        </w:rPr>
        <w:t xml:space="preserve">solubility. </w:t>
      </w:r>
      <w:r w:rsidRPr="003D46DE">
        <w:rPr>
          <w:rFonts w:ascii="Trebuchet MS" w:hAnsi="Trebuchet MS" w:cs="Times New Roman"/>
          <w:b/>
          <w:sz w:val="20"/>
          <w:szCs w:val="24"/>
        </w:rPr>
        <w:t>Methods</w:t>
      </w:r>
      <w:r w:rsidR="00CD43B8" w:rsidRPr="003D46DE">
        <w:rPr>
          <w:rFonts w:ascii="Trebuchet MS" w:hAnsi="Trebuchet MS" w:cs="Times New Roman"/>
          <w:b/>
          <w:sz w:val="20"/>
          <w:szCs w:val="24"/>
        </w:rPr>
        <w:t>:</w:t>
      </w:r>
      <w:r w:rsidRPr="003D46DE">
        <w:rPr>
          <w:rFonts w:ascii="Trebuchet MS" w:hAnsi="Trebuchet MS" w:cs="Times New Roman"/>
          <w:sz w:val="20"/>
          <w:szCs w:val="24"/>
        </w:rPr>
        <w:t xml:space="preserve"> </w:t>
      </w:r>
      <w:r w:rsidR="003420AF">
        <w:rPr>
          <w:rFonts w:ascii="Trebuchet MS" w:hAnsi="Trebuchet MS"/>
          <w:sz w:val="20"/>
          <w:szCs w:val="20"/>
        </w:rPr>
        <w:t>A 24</w:t>
      </w:r>
      <w:r w:rsidR="0043335F" w:rsidRPr="0043335F">
        <w:rPr>
          <w:rFonts w:ascii="Trebuchet MS" w:hAnsi="Trebuchet MS" w:cs="Myriad Pro"/>
          <w:color w:val="000000"/>
          <w:sz w:val="20"/>
          <w:szCs w:val="20"/>
        </w:rPr>
        <w:t xml:space="preserve">-year-old </w:t>
      </w:r>
      <w:r w:rsidR="005C08A7">
        <w:rPr>
          <w:rFonts w:ascii="Trebuchet MS" w:hAnsi="Trebuchet MS"/>
          <w:sz w:val="20"/>
          <w:szCs w:val="20"/>
        </w:rPr>
        <w:t>fe</w:t>
      </w:r>
      <w:r w:rsidR="00320708">
        <w:rPr>
          <w:rFonts w:ascii="Trebuchet MS" w:hAnsi="Trebuchet MS" w:cs="Myriad Pro"/>
          <w:color w:val="000000"/>
          <w:sz w:val="20"/>
          <w:szCs w:val="20"/>
        </w:rPr>
        <w:t xml:space="preserve">male came </w:t>
      </w:r>
      <w:r w:rsidR="0043335F" w:rsidRPr="0043335F">
        <w:rPr>
          <w:rFonts w:ascii="Trebuchet MS" w:hAnsi="Trebuchet MS" w:cs="Myriad Pro"/>
          <w:color w:val="000000"/>
          <w:sz w:val="20"/>
          <w:szCs w:val="20"/>
        </w:rPr>
        <w:t>with a swelling and</w:t>
      </w:r>
      <w:r w:rsidR="00CE2501">
        <w:rPr>
          <w:rFonts w:ascii="Trebuchet MS" w:hAnsi="Trebuchet MS" w:cs="Myriad Pro"/>
          <w:color w:val="000000"/>
          <w:sz w:val="20"/>
          <w:szCs w:val="20"/>
        </w:rPr>
        <w:t xml:space="preserve"> pain at the right submandibula</w:t>
      </w:r>
      <w:r w:rsidR="004F2BCA">
        <w:rPr>
          <w:rFonts w:ascii="Trebuchet MS" w:hAnsi="Trebuchet MS" w:cs="Myriad Pro"/>
          <w:color w:val="000000"/>
          <w:sz w:val="20"/>
          <w:szCs w:val="20"/>
        </w:rPr>
        <w:t>r</w:t>
      </w:r>
      <w:r w:rsidR="00133798">
        <w:rPr>
          <w:rFonts w:ascii="Trebuchet MS" w:hAnsi="Trebuchet MS" w:cs="Myriad Pro"/>
          <w:color w:val="000000"/>
          <w:sz w:val="20"/>
          <w:szCs w:val="20"/>
        </w:rPr>
        <w:t xml:space="preserve">. </w:t>
      </w:r>
      <w:r w:rsidR="0043335F" w:rsidRPr="0043335F">
        <w:rPr>
          <w:rFonts w:ascii="Trebuchet MS" w:hAnsi="Trebuchet MS" w:cs="Myriad Pro"/>
          <w:color w:val="000000"/>
          <w:sz w:val="20"/>
          <w:szCs w:val="20"/>
        </w:rPr>
        <w:t>The panoramic radiograph showed a radiopacity mass with wel</w:t>
      </w:r>
      <w:r w:rsidR="00CE2501">
        <w:rPr>
          <w:rFonts w:ascii="Trebuchet MS" w:hAnsi="Trebuchet MS" w:cs="Myriad Pro"/>
          <w:color w:val="000000"/>
          <w:sz w:val="20"/>
          <w:szCs w:val="20"/>
        </w:rPr>
        <w:t>l-defined in right submandibula</w:t>
      </w:r>
      <w:r w:rsidR="004F2BCA">
        <w:rPr>
          <w:rFonts w:ascii="Trebuchet MS" w:hAnsi="Trebuchet MS" w:cs="Myriad Pro"/>
          <w:color w:val="000000"/>
          <w:sz w:val="20"/>
          <w:szCs w:val="20"/>
        </w:rPr>
        <w:t>r</w:t>
      </w:r>
      <w:r w:rsidR="0043335F" w:rsidRPr="0043335F">
        <w:rPr>
          <w:rFonts w:ascii="Trebuchet MS" w:hAnsi="Trebuchet MS" w:cs="Myriad Pro"/>
          <w:color w:val="000000"/>
          <w:sz w:val="20"/>
          <w:szCs w:val="20"/>
        </w:rPr>
        <w:t xml:space="preserve">. The ultrasonographic interpretation showed hypoechoic inhomogeneous mass with multiple </w:t>
      </w:r>
      <w:r w:rsidR="009575FB">
        <w:rPr>
          <w:rFonts w:ascii="Trebuchet MS" w:hAnsi="Trebuchet MS" w:cs="Myriad Pro"/>
          <w:color w:val="000000"/>
          <w:sz w:val="20"/>
          <w:szCs w:val="20"/>
        </w:rPr>
        <w:t xml:space="preserve">calcification. </w:t>
      </w:r>
      <w:r w:rsidR="00CE2501">
        <w:rPr>
          <w:rFonts w:ascii="Trebuchet MS" w:hAnsi="Trebuchet MS" w:cs="Myriad Pro"/>
          <w:color w:val="000000"/>
          <w:sz w:val="20"/>
          <w:szCs w:val="20"/>
        </w:rPr>
        <w:t>The submandibula</w:t>
      </w:r>
      <w:r w:rsidR="004F2BCA">
        <w:rPr>
          <w:rFonts w:ascii="Trebuchet MS" w:hAnsi="Trebuchet MS" w:cs="Myriad Pro"/>
          <w:color w:val="000000"/>
          <w:sz w:val="20"/>
          <w:szCs w:val="20"/>
        </w:rPr>
        <w:t>r</w:t>
      </w:r>
      <w:r w:rsidR="00CE2501">
        <w:rPr>
          <w:rFonts w:ascii="Trebuchet MS" w:hAnsi="Trebuchet MS" w:cs="Myriad Pro"/>
          <w:color w:val="000000"/>
          <w:sz w:val="20"/>
          <w:szCs w:val="20"/>
        </w:rPr>
        <w:t xml:space="preserve"> </w:t>
      </w:r>
      <w:r w:rsidR="0043335F" w:rsidRPr="0043335F">
        <w:rPr>
          <w:rFonts w:ascii="Trebuchet MS" w:hAnsi="Trebuchet MS" w:cs="Myriad Pro"/>
          <w:color w:val="000000"/>
          <w:sz w:val="20"/>
          <w:szCs w:val="20"/>
        </w:rPr>
        <w:t>gland removal was performed by extraoral approach.</w:t>
      </w:r>
      <w:r w:rsidR="0043335F">
        <w:rPr>
          <w:rFonts w:cs="Myriad Pro"/>
          <w:color w:val="000000"/>
          <w:sz w:val="19"/>
          <w:szCs w:val="19"/>
        </w:rPr>
        <w:t xml:space="preserve"> </w:t>
      </w:r>
      <w:r w:rsidRPr="003D46DE">
        <w:rPr>
          <w:rFonts w:ascii="Trebuchet MS" w:hAnsi="Trebuchet MS" w:cs="Times New Roman"/>
          <w:b/>
          <w:sz w:val="20"/>
          <w:szCs w:val="24"/>
        </w:rPr>
        <w:t>Result</w:t>
      </w:r>
      <w:r w:rsidR="003D46DE" w:rsidRPr="003D46DE">
        <w:rPr>
          <w:rFonts w:ascii="Trebuchet MS" w:hAnsi="Trebuchet MS" w:cs="Times New Roman"/>
          <w:b/>
          <w:sz w:val="20"/>
          <w:szCs w:val="24"/>
        </w:rPr>
        <w:t>s</w:t>
      </w:r>
      <w:r w:rsidRPr="003D46DE">
        <w:rPr>
          <w:rFonts w:ascii="Trebuchet MS" w:hAnsi="Trebuchet MS" w:cs="Times New Roman"/>
          <w:b/>
          <w:sz w:val="20"/>
          <w:szCs w:val="24"/>
        </w:rPr>
        <w:t xml:space="preserve">: </w:t>
      </w:r>
      <w:r w:rsidR="001E5F54" w:rsidRPr="001E5F54">
        <w:rPr>
          <w:rFonts w:ascii="Trebuchet MS" w:hAnsi="Trebuchet MS" w:cs="Myriad Pro"/>
          <w:color w:val="000000"/>
          <w:sz w:val="20"/>
          <w:szCs w:val="20"/>
        </w:rPr>
        <w:t>A surgical approach for removal of</w:t>
      </w:r>
      <w:r w:rsidR="00CE2501">
        <w:rPr>
          <w:rFonts w:ascii="Trebuchet MS" w:hAnsi="Trebuchet MS" w:cs="Myriad Pro"/>
          <w:color w:val="000000"/>
          <w:sz w:val="20"/>
          <w:szCs w:val="20"/>
        </w:rPr>
        <w:t xml:space="preserve"> sialolith in the submandibula</w:t>
      </w:r>
      <w:r w:rsidR="004F2BCA">
        <w:rPr>
          <w:rFonts w:ascii="Trebuchet MS" w:hAnsi="Trebuchet MS" w:cs="Myriad Pro"/>
          <w:color w:val="000000"/>
          <w:sz w:val="20"/>
          <w:szCs w:val="20"/>
        </w:rPr>
        <w:t>r</w:t>
      </w:r>
      <w:r w:rsidR="00CE2501">
        <w:rPr>
          <w:rFonts w:ascii="Trebuchet MS" w:hAnsi="Trebuchet MS" w:cs="Myriad Pro"/>
          <w:color w:val="000000"/>
          <w:sz w:val="20"/>
          <w:szCs w:val="20"/>
        </w:rPr>
        <w:t xml:space="preserve"> </w:t>
      </w:r>
      <w:r w:rsidR="001E5F54" w:rsidRPr="001E5F54">
        <w:rPr>
          <w:rFonts w:ascii="Trebuchet MS" w:hAnsi="Trebuchet MS" w:cs="Myriad Pro"/>
          <w:color w:val="000000"/>
          <w:sz w:val="20"/>
          <w:szCs w:val="20"/>
        </w:rPr>
        <w:t xml:space="preserve">gland could be intraoral or extraoral. In this case report, we described </w:t>
      </w:r>
      <w:r w:rsidR="003C7927">
        <w:rPr>
          <w:rFonts w:ascii="Trebuchet MS" w:hAnsi="Trebuchet MS" w:cs="Myriad Pro"/>
          <w:color w:val="000000"/>
          <w:sz w:val="20"/>
          <w:szCs w:val="20"/>
        </w:rPr>
        <w:t>nine</w:t>
      </w:r>
      <w:r w:rsidR="00CE2501">
        <w:rPr>
          <w:rFonts w:ascii="Trebuchet MS" w:hAnsi="Trebuchet MS" w:cs="Myriad Pro"/>
          <w:color w:val="000000"/>
          <w:sz w:val="20"/>
          <w:szCs w:val="20"/>
        </w:rPr>
        <w:t xml:space="preserve"> stones in the submandibula</w:t>
      </w:r>
      <w:r w:rsidR="004F2BCA">
        <w:rPr>
          <w:rFonts w:ascii="Trebuchet MS" w:hAnsi="Trebuchet MS" w:cs="Myriad Pro"/>
          <w:color w:val="000000"/>
          <w:sz w:val="20"/>
          <w:szCs w:val="20"/>
        </w:rPr>
        <w:t>r</w:t>
      </w:r>
      <w:r w:rsidR="001E5F54" w:rsidRPr="001E5F54">
        <w:rPr>
          <w:rFonts w:ascii="Trebuchet MS" w:hAnsi="Trebuchet MS" w:cs="Myriad Pro"/>
          <w:color w:val="000000"/>
          <w:sz w:val="20"/>
          <w:szCs w:val="20"/>
        </w:rPr>
        <w:t xml:space="preserve"> gland, which were removed by extraoral approach.</w:t>
      </w:r>
      <w:r w:rsidR="003420AF">
        <w:rPr>
          <w:rFonts w:ascii="Trebuchet MS" w:hAnsi="Trebuchet MS" w:cs="Myriad Pro"/>
          <w:color w:val="000000"/>
          <w:sz w:val="20"/>
          <w:szCs w:val="20"/>
        </w:rPr>
        <w:t xml:space="preserve"> </w:t>
      </w:r>
      <w:r w:rsidR="005F05ED" w:rsidRPr="001E5F54">
        <w:rPr>
          <w:rFonts w:ascii="Trebuchet MS" w:hAnsi="Trebuchet MS" w:cs="Times New Roman"/>
          <w:b/>
          <w:sz w:val="20"/>
          <w:szCs w:val="20"/>
        </w:rPr>
        <w:t>Conclu</w:t>
      </w:r>
      <w:r w:rsidR="00CD43B8" w:rsidRPr="001E5F54">
        <w:rPr>
          <w:rFonts w:ascii="Trebuchet MS" w:hAnsi="Trebuchet MS" w:cs="Times New Roman"/>
          <w:b/>
          <w:sz w:val="20"/>
          <w:szCs w:val="20"/>
        </w:rPr>
        <w:t>s</w:t>
      </w:r>
      <w:r w:rsidR="005F05ED" w:rsidRPr="001E5F54">
        <w:rPr>
          <w:rFonts w:ascii="Trebuchet MS" w:hAnsi="Trebuchet MS" w:cs="Times New Roman"/>
          <w:b/>
          <w:sz w:val="20"/>
          <w:szCs w:val="20"/>
        </w:rPr>
        <w:t>ion:</w:t>
      </w:r>
      <w:r w:rsidR="005B4A0E" w:rsidRPr="001E5F54">
        <w:rPr>
          <w:rFonts w:ascii="Trebuchet MS" w:hAnsi="Trebuchet MS" w:cs="Times New Roman"/>
          <w:sz w:val="20"/>
          <w:szCs w:val="20"/>
        </w:rPr>
        <w:t xml:space="preserve"> </w:t>
      </w:r>
      <w:r w:rsidR="00D13B9C" w:rsidRPr="00D13B9C">
        <w:rPr>
          <w:rFonts w:ascii="Trebuchet MS" w:hAnsi="Trebuchet MS" w:cs="Times New Roman"/>
          <w:sz w:val="20"/>
          <w:szCs w:val="20"/>
        </w:rPr>
        <w:t xml:space="preserve">Etiopathogenesis in this case is suspected from </w:t>
      </w:r>
      <w:r w:rsidR="00133798">
        <w:rPr>
          <w:rFonts w:ascii="Trebuchet MS" w:hAnsi="Trebuchet MS" w:cs="Times New Roman"/>
          <w:sz w:val="20"/>
          <w:szCs w:val="20"/>
        </w:rPr>
        <w:t xml:space="preserve">infection of ductus causing </w:t>
      </w:r>
      <w:r w:rsidR="00D13B9C">
        <w:rPr>
          <w:rFonts w:ascii="Trebuchet MS" w:hAnsi="Trebuchet MS" w:cs="Times New Roman"/>
          <w:sz w:val="20"/>
          <w:szCs w:val="20"/>
        </w:rPr>
        <w:t>obst</w:t>
      </w:r>
      <w:r w:rsidR="00320708">
        <w:rPr>
          <w:rFonts w:ascii="Trebuchet MS" w:hAnsi="Trebuchet MS" w:cs="Times New Roman"/>
          <w:sz w:val="20"/>
          <w:szCs w:val="20"/>
        </w:rPr>
        <w:t>ru</w:t>
      </w:r>
      <w:r w:rsidR="00CE2501">
        <w:rPr>
          <w:rFonts w:ascii="Trebuchet MS" w:hAnsi="Trebuchet MS" w:cs="Times New Roman"/>
          <w:sz w:val="20"/>
          <w:szCs w:val="20"/>
        </w:rPr>
        <w:t>ction of the right submandibula</w:t>
      </w:r>
      <w:r w:rsidR="004F2BCA">
        <w:rPr>
          <w:rFonts w:ascii="Trebuchet MS" w:hAnsi="Trebuchet MS" w:cs="Times New Roman"/>
          <w:sz w:val="20"/>
          <w:szCs w:val="20"/>
        </w:rPr>
        <w:t>r</w:t>
      </w:r>
      <w:r w:rsidR="00CE2501">
        <w:rPr>
          <w:rFonts w:ascii="Trebuchet MS" w:hAnsi="Trebuchet MS" w:cs="Times New Roman"/>
          <w:sz w:val="20"/>
          <w:szCs w:val="20"/>
        </w:rPr>
        <w:t xml:space="preserve"> </w:t>
      </w:r>
      <w:r w:rsidR="00D13B9C" w:rsidRPr="00D13B9C">
        <w:rPr>
          <w:rFonts w:ascii="Trebuchet MS" w:hAnsi="Trebuchet MS" w:cs="Times New Roman"/>
          <w:sz w:val="20"/>
          <w:szCs w:val="20"/>
        </w:rPr>
        <w:t>salivary glands</w:t>
      </w:r>
      <w:r w:rsidR="00D13B9C">
        <w:rPr>
          <w:rFonts w:ascii="Trebuchet MS" w:hAnsi="Trebuchet MS" w:cs="Times New Roman"/>
          <w:sz w:val="20"/>
          <w:szCs w:val="20"/>
        </w:rPr>
        <w:t xml:space="preserve">. </w:t>
      </w:r>
      <w:r w:rsidR="00320708">
        <w:rPr>
          <w:rFonts w:ascii="Trebuchet MS" w:hAnsi="Trebuchet MS" w:cs="Myriad Pro"/>
          <w:color w:val="000000"/>
          <w:sz w:val="20"/>
          <w:szCs w:val="20"/>
        </w:rPr>
        <w:t>R</w:t>
      </w:r>
      <w:r w:rsidR="00CE2501">
        <w:rPr>
          <w:rFonts w:ascii="Trebuchet MS" w:hAnsi="Trebuchet MS" w:cs="Myriad Pro"/>
          <w:color w:val="000000"/>
          <w:sz w:val="20"/>
          <w:szCs w:val="20"/>
        </w:rPr>
        <w:t>emoval of the submandibula</w:t>
      </w:r>
      <w:r w:rsidR="004F2BCA">
        <w:rPr>
          <w:rFonts w:ascii="Trebuchet MS" w:hAnsi="Trebuchet MS" w:cs="Myriad Pro"/>
          <w:color w:val="000000"/>
          <w:sz w:val="20"/>
          <w:szCs w:val="20"/>
        </w:rPr>
        <w:t>r</w:t>
      </w:r>
      <w:r w:rsidR="001E5F54" w:rsidRPr="001E5F54">
        <w:rPr>
          <w:rFonts w:ascii="Trebuchet MS" w:hAnsi="Trebuchet MS" w:cs="Myriad Pro"/>
          <w:color w:val="000000"/>
          <w:sz w:val="20"/>
          <w:szCs w:val="20"/>
        </w:rPr>
        <w:t xml:space="preserve"> gland with the stone should still be preferred as the gold standard of treatment and could avoid recu</w:t>
      </w:r>
      <w:r w:rsidR="000A5891">
        <w:rPr>
          <w:rFonts w:ascii="Trebuchet MS" w:hAnsi="Trebuchet MS" w:cs="Myriad Pro"/>
          <w:color w:val="000000"/>
          <w:sz w:val="20"/>
          <w:szCs w:val="20"/>
        </w:rPr>
        <w:t>rrence</w:t>
      </w:r>
      <w:r w:rsidR="001E5F54" w:rsidRPr="001E5F54">
        <w:rPr>
          <w:rFonts w:ascii="Trebuchet MS" w:hAnsi="Trebuchet MS" w:cs="Myriad Pro"/>
          <w:color w:val="000000"/>
          <w:sz w:val="20"/>
          <w:szCs w:val="20"/>
        </w:rPr>
        <w:t>.</w:t>
      </w:r>
      <w:r w:rsidR="003420AF">
        <w:rPr>
          <w:rFonts w:ascii="Trebuchet MS" w:hAnsi="Trebuchet MS" w:cs="Myriad Pro"/>
          <w:color w:val="000000"/>
          <w:sz w:val="20"/>
          <w:szCs w:val="20"/>
        </w:rPr>
        <w:t xml:space="preserve"> </w:t>
      </w:r>
    </w:p>
    <w:p w:rsidR="005F05ED" w:rsidRPr="003420AF" w:rsidRDefault="00C31B39" w:rsidP="003420AF">
      <w:pPr>
        <w:autoSpaceDE w:val="0"/>
        <w:autoSpaceDN w:val="0"/>
        <w:adjustRightInd w:val="0"/>
        <w:spacing w:after="0" w:line="240" w:lineRule="auto"/>
        <w:jc w:val="both"/>
        <w:rPr>
          <w:rFonts w:ascii="Trebuchet MS" w:hAnsi="Trebuchet MS" w:cs="Giovanni-Book"/>
          <w:sz w:val="20"/>
          <w:szCs w:val="20"/>
        </w:rPr>
      </w:pPr>
      <w:r w:rsidRPr="003D46DE">
        <w:rPr>
          <w:rFonts w:ascii="Trebuchet MS" w:hAnsi="Trebuchet MS" w:cs="Times New Roman"/>
          <w:b/>
          <w:sz w:val="20"/>
          <w:szCs w:val="24"/>
        </w:rPr>
        <w:t>Keywords:</w:t>
      </w:r>
      <w:r w:rsidRPr="003D46DE">
        <w:rPr>
          <w:rFonts w:ascii="Trebuchet MS" w:hAnsi="Trebuchet MS" w:cs="Times New Roman"/>
          <w:sz w:val="20"/>
          <w:szCs w:val="24"/>
        </w:rPr>
        <w:t xml:space="preserve"> </w:t>
      </w:r>
      <w:r w:rsidR="00647C0E">
        <w:rPr>
          <w:rFonts w:ascii="Trebuchet MS" w:hAnsi="Trebuchet MS"/>
          <w:sz w:val="20"/>
          <w:szCs w:val="20"/>
        </w:rPr>
        <w:t xml:space="preserve">Multiple, </w:t>
      </w:r>
      <w:r w:rsidR="001E5F54" w:rsidRPr="001E5F54">
        <w:rPr>
          <w:rFonts w:ascii="Trebuchet MS" w:hAnsi="Trebuchet MS"/>
          <w:sz w:val="20"/>
          <w:szCs w:val="20"/>
        </w:rPr>
        <w:t>Sialoli</w:t>
      </w:r>
      <w:r w:rsidR="00CE2501">
        <w:rPr>
          <w:rFonts w:ascii="Trebuchet MS" w:hAnsi="Trebuchet MS"/>
          <w:sz w:val="20"/>
          <w:szCs w:val="20"/>
        </w:rPr>
        <w:t>thiasis, Submandibula</w:t>
      </w:r>
      <w:r w:rsidR="004F2BCA">
        <w:rPr>
          <w:rFonts w:ascii="Trebuchet MS" w:hAnsi="Trebuchet MS"/>
          <w:sz w:val="20"/>
          <w:szCs w:val="20"/>
        </w:rPr>
        <w:t>r</w:t>
      </w:r>
      <w:r w:rsidR="001E5F54" w:rsidRPr="001E5F54">
        <w:rPr>
          <w:rFonts w:ascii="Trebuchet MS" w:hAnsi="Trebuchet MS"/>
          <w:sz w:val="20"/>
          <w:szCs w:val="20"/>
        </w:rPr>
        <w:t xml:space="preserve"> gland</w:t>
      </w:r>
      <w:r w:rsidR="00080602">
        <w:rPr>
          <w:rFonts w:ascii="Trebuchet MS" w:hAnsi="Trebuchet MS"/>
          <w:sz w:val="20"/>
          <w:szCs w:val="20"/>
        </w:rPr>
        <w:t>.</w:t>
      </w:r>
    </w:p>
    <w:p w:rsidR="00CD43B8" w:rsidRPr="003D46DE" w:rsidRDefault="00CD43B8" w:rsidP="003D46DE">
      <w:pPr>
        <w:tabs>
          <w:tab w:val="left" w:pos="8010"/>
        </w:tabs>
        <w:spacing w:after="0" w:line="240" w:lineRule="auto"/>
        <w:jc w:val="both"/>
        <w:rPr>
          <w:rFonts w:ascii="Trebuchet MS" w:hAnsi="Trebuchet MS" w:cs="Times New Roman"/>
          <w:sz w:val="20"/>
          <w:szCs w:val="24"/>
        </w:rPr>
      </w:pPr>
    </w:p>
    <w:p w:rsidR="008D14E3" w:rsidRPr="00235DB6" w:rsidRDefault="00CD43B8" w:rsidP="00235DB6">
      <w:pPr>
        <w:tabs>
          <w:tab w:val="left" w:pos="8010"/>
        </w:tabs>
        <w:spacing w:after="0" w:line="240" w:lineRule="auto"/>
        <w:jc w:val="both"/>
        <w:rPr>
          <w:rFonts w:ascii="Trebuchet MS" w:hAnsi="Trebuchet MS" w:cs="Times New Roman"/>
          <w:b/>
          <w:sz w:val="20"/>
          <w:szCs w:val="24"/>
        </w:rPr>
      </w:pPr>
      <w:r w:rsidRPr="003D46DE">
        <w:rPr>
          <w:rFonts w:ascii="Trebuchet MS" w:hAnsi="Trebuchet MS" w:cs="Times New Roman"/>
          <w:b/>
          <w:sz w:val="20"/>
          <w:szCs w:val="24"/>
        </w:rPr>
        <w:t xml:space="preserve">Correspondence : </w:t>
      </w:r>
      <w:r w:rsidRPr="003D46DE">
        <w:rPr>
          <w:rFonts w:ascii="Trebuchet MS" w:hAnsi="Trebuchet MS" w:cs="Times New Roman"/>
          <w:sz w:val="20"/>
          <w:szCs w:val="24"/>
        </w:rPr>
        <w:t>Nyoman Ayu Anggaya</w:t>
      </w:r>
      <w:r w:rsidR="008D14E3" w:rsidRPr="003D46DE">
        <w:rPr>
          <w:rFonts w:ascii="Trebuchet MS" w:hAnsi="Trebuchet MS" w:cs="Times New Roman"/>
          <w:sz w:val="20"/>
          <w:szCs w:val="24"/>
        </w:rPr>
        <w:t xml:space="preserve">nti, Tubagus Ismail XIV no 28 A </w:t>
      </w:r>
      <w:r w:rsidRPr="003D46DE">
        <w:rPr>
          <w:rFonts w:ascii="Trebuchet MS" w:hAnsi="Trebuchet MS" w:cs="Times New Roman"/>
          <w:sz w:val="20"/>
          <w:szCs w:val="24"/>
        </w:rPr>
        <w:t>Bandung,</w:t>
      </w:r>
      <w:r w:rsidR="008D14E3" w:rsidRPr="003D46DE">
        <w:rPr>
          <w:rFonts w:ascii="Trebuchet MS" w:hAnsi="Trebuchet MS" w:cs="Times New Roman"/>
          <w:sz w:val="20"/>
          <w:szCs w:val="24"/>
        </w:rPr>
        <w:t xml:space="preserve"> Indonesia 40134</w:t>
      </w:r>
    </w:p>
    <w:p w:rsidR="00CD43B8" w:rsidRPr="003D46DE" w:rsidRDefault="008D14E3" w:rsidP="003D46DE">
      <w:pPr>
        <w:pStyle w:val="ListParagraph"/>
        <w:spacing w:after="0" w:line="240" w:lineRule="auto"/>
        <w:ind w:left="0"/>
        <w:jc w:val="both"/>
        <w:rPr>
          <w:rFonts w:ascii="Trebuchet MS" w:hAnsi="Trebuchet MS" w:cs="Times New Roman"/>
          <w:sz w:val="20"/>
          <w:szCs w:val="24"/>
        </w:rPr>
      </w:pPr>
      <w:r w:rsidRPr="003D46DE">
        <w:rPr>
          <w:rFonts w:ascii="Trebuchet MS" w:hAnsi="Trebuchet MS" w:cs="Times New Roman"/>
          <w:sz w:val="20"/>
          <w:szCs w:val="24"/>
        </w:rPr>
        <w:t xml:space="preserve">Hp : </w:t>
      </w:r>
      <w:r w:rsidR="00CD43B8" w:rsidRPr="003D46DE">
        <w:rPr>
          <w:rFonts w:ascii="Trebuchet MS" w:hAnsi="Trebuchet MS" w:cs="Times New Roman"/>
          <w:sz w:val="20"/>
          <w:szCs w:val="24"/>
        </w:rPr>
        <w:t>081</w:t>
      </w:r>
      <w:r w:rsidRPr="003D46DE">
        <w:rPr>
          <w:rFonts w:ascii="Trebuchet MS" w:hAnsi="Trebuchet MS" w:cs="Times New Roman"/>
          <w:sz w:val="20"/>
          <w:szCs w:val="24"/>
        </w:rPr>
        <w:t>13853707, E</w:t>
      </w:r>
      <w:r w:rsidR="00CD43B8" w:rsidRPr="003D46DE">
        <w:rPr>
          <w:rFonts w:ascii="Trebuchet MS" w:hAnsi="Trebuchet MS" w:cs="Times New Roman"/>
          <w:sz w:val="20"/>
          <w:szCs w:val="24"/>
        </w:rPr>
        <w:t>mail : anggayanti@gmail.com</w:t>
      </w:r>
    </w:p>
    <w:p w:rsidR="005F05ED" w:rsidRDefault="005F05ED"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49480E" w:rsidRDefault="0049480E" w:rsidP="003D46DE">
      <w:pPr>
        <w:spacing w:after="0" w:line="276" w:lineRule="auto"/>
        <w:jc w:val="both"/>
        <w:rPr>
          <w:rFonts w:ascii="Times New Roman" w:hAnsi="Times New Roman" w:cs="Times New Roman"/>
          <w:sz w:val="24"/>
          <w:szCs w:val="24"/>
        </w:rPr>
      </w:pPr>
    </w:p>
    <w:p w:rsidR="009A4DD1" w:rsidRDefault="009A4DD1" w:rsidP="003D46DE">
      <w:pPr>
        <w:spacing w:after="0" w:line="276" w:lineRule="auto"/>
        <w:jc w:val="both"/>
        <w:rPr>
          <w:rFonts w:ascii="Times New Roman" w:hAnsi="Times New Roman" w:cs="Times New Roman"/>
          <w:sz w:val="24"/>
          <w:szCs w:val="24"/>
        </w:rPr>
      </w:pPr>
    </w:p>
    <w:p w:rsidR="00393361" w:rsidRDefault="00393361" w:rsidP="003D46DE">
      <w:pPr>
        <w:spacing w:after="0" w:line="276" w:lineRule="auto"/>
        <w:jc w:val="center"/>
        <w:rPr>
          <w:rFonts w:ascii="Times New Roman" w:hAnsi="Times New Roman" w:cs="Times New Roman"/>
          <w:b/>
          <w:sz w:val="24"/>
          <w:szCs w:val="24"/>
        </w:rPr>
      </w:pPr>
    </w:p>
    <w:p w:rsidR="00235DB6" w:rsidRDefault="00235DB6" w:rsidP="003D46DE">
      <w:pPr>
        <w:spacing w:after="0" w:line="276" w:lineRule="auto"/>
        <w:jc w:val="center"/>
        <w:rPr>
          <w:rFonts w:ascii="Times New Roman" w:hAnsi="Times New Roman" w:cs="Times New Roman"/>
          <w:b/>
          <w:sz w:val="24"/>
          <w:szCs w:val="24"/>
        </w:rPr>
      </w:pPr>
    </w:p>
    <w:p w:rsidR="00235DB6" w:rsidRDefault="00235DB6" w:rsidP="003D46DE">
      <w:pPr>
        <w:spacing w:after="0" w:line="276" w:lineRule="auto"/>
        <w:jc w:val="center"/>
        <w:rPr>
          <w:rFonts w:ascii="Times New Roman" w:hAnsi="Times New Roman" w:cs="Times New Roman"/>
          <w:b/>
          <w:sz w:val="24"/>
          <w:szCs w:val="24"/>
        </w:rPr>
      </w:pPr>
    </w:p>
    <w:p w:rsidR="00235DB6" w:rsidRDefault="00235DB6" w:rsidP="003D46DE">
      <w:pPr>
        <w:spacing w:after="0" w:line="276" w:lineRule="auto"/>
        <w:jc w:val="center"/>
        <w:rPr>
          <w:rFonts w:ascii="Times New Roman" w:hAnsi="Times New Roman" w:cs="Times New Roman"/>
          <w:b/>
          <w:sz w:val="24"/>
          <w:szCs w:val="24"/>
        </w:rPr>
      </w:pPr>
    </w:p>
    <w:p w:rsidR="00235DB6" w:rsidRDefault="00235DB6" w:rsidP="003D46DE">
      <w:pPr>
        <w:spacing w:after="0" w:line="276" w:lineRule="auto"/>
        <w:jc w:val="center"/>
        <w:rPr>
          <w:rFonts w:ascii="Times New Roman" w:hAnsi="Times New Roman" w:cs="Times New Roman"/>
          <w:b/>
          <w:sz w:val="24"/>
          <w:szCs w:val="24"/>
        </w:rPr>
      </w:pPr>
    </w:p>
    <w:p w:rsidR="00235DB6" w:rsidRPr="00691556" w:rsidRDefault="00DE1D3F" w:rsidP="00A1270A">
      <w:pPr>
        <w:spacing w:after="0" w:line="240" w:lineRule="auto"/>
        <w:rPr>
          <w:rFonts w:ascii="Trebuchet MS" w:hAnsi="Trebuchet MS"/>
          <w:b/>
          <w:sz w:val="32"/>
          <w:szCs w:val="32"/>
          <w:lang w:val="id-ID"/>
        </w:rPr>
      </w:pPr>
      <w:r>
        <w:rPr>
          <w:rFonts w:ascii="Trebuchet MS" w:hAnsi="Trebuchet MS"/>
          <w:b/>
          <w:sz w:val="28"/>
          <w:szCs w:val="28"/>
          <w:lang w:val="id-ID"/>
        </w:rPr>
        <w:lastRenderedPageBreak/>
        <w:t>Etiopathogenesis</w:t>
      </w:r>
      <w:r w:rsidR="00235DB6" w:rsidRPr="00691556">
        <w:rPr>
          <w:rFonts w:ascii="Trebuchet MS" w:hAnsi="Trebuchet MS"/>
          <w:b/>
          <w:sz w:val="28"/>
          <w:szCs w:val="28"/>
          <w:lang w:val="id-ID"/>
        </w:rPr>
        <w:t xml:space="preserve"> </w:t>
      </w:r>
      <w:r w:rsidR="00410EDD" w:rsidRPr="00691556">
        <w:rPr>
          <w:rFonts w:ascii="Trebuchet MS" w:hAnsi="Trebuchet MS"/>
          <w:b/>
          <w:sz w:val="28"/>
          <w:szCs w:val="28"/>
        </w:rPr>
        <w:t xml:space="preserve">dan terapi kasus jarang multipel </w:t>
      </w:r>
      <w:r w:rsidR="00235DB6" w:rsidRPr="00691556">
        <w:rPr>
          <w:rFonts w:ascii="Trebuchet MS" w:hAnsi="Trebuchet MS"/>
          <w:b/>
          <w:sz w:val="28"/>
          <w:szCs w:val="28"/>
          <w:lang w:val="id-ID"/>
        </w:rPr>
        <w:t>sialolithiasis kelen</w:t>
      </w:r>
      <w:r w:rsidR="004F2BCA" w:rsidRPr="00691556">
        <w:rPr>
          <w:rFonts w:ascii="Trebuchet MS" w:hAnsi="Trebuchet MS"/>
          <w:b/>
          <w:sz w:val="28"/>
          <w:szCs w:val="28"/>
          <w:lang w:val="id-ID"/>
        </w:rPr>
        <w:t>jar submandibula</w:t>
      </w:r>
      <w:r w:rsidR="00235DB6" w:rsidRPr="00691556">
        <w:rPr>
          <w:rFonts w:ascii="Trebuchet MS" w:hAnsi="Trebuchet MS"/>
          <w:b/>
          <w:sz w:val="28"/>
          <w:szCs w:val="28"/>
          <w:lang w:val="id-ID"/>
        </w:rPr>
        <w:t xml:space="preserve"> : laporan kasu</w:t>
      </w:r>
      <w:r w:rsidR="00235DB6" w:rsidRPr="00691556">
        <w:rPr>
          <w:rFonts w:ascii="Trebuchet MS" w:hAnsi="Trebuchet MS"/>
          <w:b/>
          <w:sz w:val="32"/>
          <w:szCs w:val="32"/>
          <w:lang w:val="id-ID"/>
        </w:rPr>
        <w:t>s</w:t>
      </w:r>
    </w:p>
    <w:p w:rsidR="00235DB6" w:rsidRPr="00691556" w:rsidRDefault="00235DB6" w:rsidP="00235DB6">
      <w:pPr>
        <w:spacing w:after="0" w:line="276" w:lineRule="auto"/>
        <w:rPr>
          <w:rFonts w:ascii="Trebuchet MS" w:hAnsi="Trebuchet MS" w:cs="Times New Roman"/>
          <w:b/>
          <w:sz w:val="32"/>
          <w:szCs w:val="32"/>
        </w:rPr>
      </w:pPr>
    </w:p>
    <w:p w:rsidR="00235DB6" w:rsidRPr="00691556" w:rsidRDefault="00235DB6" w:rsidP="00235DB6">
      <w:pPr>
        <w:spacing w:after="0" w:line="276" w:lineRule="auto"/>
        <w:rPr>
          <w:rFonts w:ascii="Trebuchet MS" w:hAnsi="Trebuchet MS" w:cs="Times New Roman"/>
          <w:b/>
          <w:sz w:val="24"/>
          <w:szCs w:val="24"/>
        </w:rPr>
      </w:pPr>
      <w:r w:rsidRPr="00691556">
        <w:rPr>
          <w:rFonts w:ascii="Trebuchet MS" w:hAnsi="Trebuchet MS" w:cs="Times New Roman"/>
          <w:b/>
          <w:sz w:val="24"/>
          <w:szCs w:val="24"/>
        </w:rPr>
        <w:t>Nyoman Ayu Anggayanti</w:t>
      </w:r>
      <w:r w:rsidRPr="00691556">
        <w:rPr>
          <w:rFonts w:ascii="Trebuchet MS" w:hAnsi="Trebuchet MS" w:cs="Times New Roman"/>
          <w:b/>
          <w:sz w:val="24"/>
          <w:szCs w:val="24"/>
          <w:vertAlign w:val="superscript"/>
        </w:rPr>
        <w:t>1</w:t>
      </w:r>
      <w:r w:rsidRPr="00691556">
        <w:rPr>
          <w:rFonts w:ascii="Trebuchet MS" w:hAnsi="Trebuchet MS" w:cs="Times New Roman"/>
          <w:b/>
          <w:sz w:val="24"/>
          <w:szCs w:val="24"/>
        </w:rPr>
        <w:t>, Endang Sjamsudin</w:t>
      </w:r>
      <w:r w:rsidRPr="00691556">
        <w:rPr>
          <w:rFonts w:ascii="Trebuchet MS" w:hAnsi="Trebuchet MS" w:cs="Times New Roman"/>
          <w:b/>
          <w:sz w:val="24"/>
          <w:szCs w:val="24"/>
          <w:vertAlign w:val="superscript"/>
        </w:rPr>
        <w:t>2</w:t>
      </w:r>
      <w:r w:rsidRPr="00691556">
        <w:rPr>
          <w:rFonts w:ascii="Trebuchet MS" w:hAnsi="Trebuchet MS" w:cs="Times New Roman"/>
          <w:b/>
          <w:sz w:val="24"/>
          <w:szCs w:val="24"/>
        </w:rPr>
        <w:t>, Melita Sylvyana</w:t>
      </w:r>
      <w:r w:rsidRPr="00691556">
        <w:rPr>
          <w:rFonts w:ascii="Trebuchet MS" w:hAnsi="Trebuchet MS" w:cs="Times New Roman"/>
          <w:b/>
          <w:sz w:val="24"/>
          <w:szCs w:val="24"/>
          <w:vertAlign w:val="superscript"/>
        </w:rPr>
        <w:t>2</w:t>
      </w:r>
    </w:p>
    <w:p w:rsidR="00235DB6" w:rsidRPr="00691556" w:rsidRDefault="00235DB6" w:rsidP="00235DB6">
      <w:pPr>
        <w:spacing w:after="0" w:line="276" w:lineRule="auto"/>
        <w:jc w:val="center"/>
        <w:rPr>
          <w:rFonts w:ascii="Times New Roman" w:hAnsi="Times New Roman" w:cs="Times New Roman"/>
          <w:b/>
          <w:szCs w:val="24"/>
        </w:rPr>
      </w:pPr>
    </w:p>
    <w:p w:rsidR="00080602" w:rsidRPr="00691556" w:rsidRDefault="00080602" w:rsidP="00A1270A">
      <w:pPr>
        <w:spacing w:after="0" w:line="240" w:lineRule="auto"/>
        <w:ind w:left="270" w:hanging="270"/>
        <w:rPr>
          <w:rFonts w:ascii="Trebuchet MS" w:hAnsi="Trebuchet MS" w:cs="Times New Roman"/>
          <w:b/>
          <w:sz w:val="20"/>
          <w:szCs w:val="20"/>
        </w:rPr>
      </w:pPr>
      <w:r w:rsidRPr="00691556">
        <w:rPr>
          <w:rFonts w:ascii="Trebuchet MS" w:hAnsi="Trebuchet MS" w:cs="Times New Roman"/>
          <w:b/>
          <w:sz w:val="20"/>
          <w:szCs w:val="20"/>
        </w:rPr>
        <w:t xml:space="preserve">1. Residen Program Bedah Mulut dan Maksilofasial, RSUP Dr. Hasan Sadikin, Fakultas Kedokteran Gigi, Universitas Padjadjaran, Bandung, Indonesia. </w:t>
      </w:r>
    </w:p>
    <w:p w:rsidR="00080602" w:rsidRPr="00691556" w:rsidRDefault="00080602" w:rsidP="00A1270A">
      <w:pPr>
        <w:spacing w:after="0" w:line="240" w:lineRule="auto"/>
        <w:ind w:left="270" w:hanging="270"/>
        <w:rPr>
          <w:rFonts w:ascii="Trebuchet MS" w:hAnsi="Trebuchet MS" w:cs="Times New Roman"/>
          <w:b/>
          <w:sz w:val="20"/>
          <w:szCs w:val="20"/>
        </w:rPr>
      </w:pPr>
      <w:r w:rsidRPr="00691556">
        <w:rPr>
          <w:rFonts w:ascii="Trebuchet MS" w:hAnsi="Trebuchet MS" w:cs="Times New Roman"/>
          <w:b/>
          <w:sz w:val="20"/>
          <w:szCs w:val="20"/>
        </w:rPr>
        <w:t xml:space="preserve">2. Staf Departemen Bedah Mulut dan Maksilofasial, RSUP Dr. Hasan Sadikin, Fakultas Kedokteran Gigi, Universitas Padjadjaran, Bandung, Indonesia. </w:t>
      </w:r>
    </w:p>
    <w:p w:rsidR="00235DB6" w:rsidRDefault="00235DB6" w:rsidP="00973AF3">
      <w:pPr>
        <w:spacing w:after="0" w:line="240" w:lineRule="auto"/>
        <w:ind w:left="270" w:hanging="270"/>
        <w:rPr>
          <w:rFonts w:ascii="Times New Roman" w:hAnsi="Times New Roman" w:cs="Times New Roman"/>
          <w:b/>
          <w:sz w:val="24"/>
          <w:szCs w:val="24"/>
        </w:rPr>
      </w:pPr>
    </w:p>
    <w:p w:rsidR="00647C0E" w:rsidRDefault="00235DB6" w:rsidP="00973AF3">
      <w:pPr>
        <w:spacing w:after="0" w:line="240" w:lineRule="auto"/>
        <w:jc w:val="both"/>
        <w:rPr>
          <w:rFonts w:ascii="Trebuchet MS" w:hAnsi="Trebuchet MS"/>
          <w:sz w:val="20"/>
          <w:szCs w:val="20"/>
          <w:lang w:val="id-ID"/>
        </w:rPr>
      </w:pPr>
      <w:r w:rsidRPr="00235DB6">
        <w:rPr>
          <w:rFonts w:ascii="Trebuchet MS" w:hAnsi="Trebuchet MS"/>
          <w:b/>
          <w:sz w:val="20"/>
          <w:szCs w:val="20"/>
          <w:lang w:val="id-ID"/>
        </w:rPr>
        <w:t>Pendahuluan</w:t>
      </w:r>
      <w:r w:rsidR="00647C0E">
        <w:rPr>
          <w:rFonts w:ascii="Trebuchet MS" w:hAnsi="Trebuchet MS"/>
          <w:b/>
          <w:sz w:val="20"/>
          <w:szCs w:val="20"/>
          <w:lang w:val="id-ID"/>
        </w:rPr>
        <w:t xml:space="preserve">: </w:t>
      </w:r>
      <w:r w:rsidRPr="00235DB6">
        <w:rPr>
          <w:rFonts w:ascii="Trebuchet MS" w:hAnsi="Trebuchet MS"/>
          <w:sz w:val="20"/>
          <w:szCs w:val="20"/>
          <w:lang w:val="id-ID"/>
        </w:rPr>
        <w:t>Sialolithiasis adalah penyakit umum kelenjar ludah. Gejalanya termasuk pembengkakan kelenjar yang t</w:t>
      </w:r>
      <w:r w:rsidR="009575FB">
        <w:rPr>
          <w:rFonts w:ascii="Trebuchet MS" w:hAnsi="Trebuchet MS"/>
          <w:sz w:val="20"/>
          <w:szCs w:val="20"/>
          <w:lang w:val="id-ID"/>
        </w:rPr>
        <w:t xml:space="preserve">erlibat, terutama selama makan </w:t>
      </w:r>
      <w:r w:rsidRPr="00235DB6">
        <w:rPr>
          <w:rFonts w:ascii="Trebuchet MS" w:hAnsi="Trebuchet MS"/>
          <w:sz w:val="20"/>
          <w:szCs w:val="20"/>
          <w:lang w:val="id-ID"/>
        </w:rPr>
        <w:t xml:space="preserve">dan nyeri tekan, yang mungkin mereda tetapi </w:t>
      </w:r>
      <w:r w:rsidR="00D42588">
        <w:rPr>
          <w:rFonts w:ascii="Trebuchet MS" w:hAnsi="Trebuchet MS"/>
          <w:sz w:val="20"/>
          <w:szCs w:val="20"/>
        </w:rPr>
        <w:t xml:space="preserve">dapat </w:t>
      </w:r>
      <w:r w:rsidR="00D42588">
        <w:rPr>
          <w:rFonts w:ascii="Trebuchet MS" w:hAnsi="Trebuchet MS"/>
          <w:sz w:val="20"/>
          <w:szCs w:val="20"/>
          <w:lang w:val="id-ID"/>
        </w:rPr>
        <w:t>kambuh kembali</w:t>
      </w:r>
      <w:r w:rsidRPr="00235DB6">
        <w:rPr>
          <w:rFonts w:ascii="Trebuchet MS" w:hAnsi="Trebuchet MS"/>
          <w:sz w:val="20"/>
          <w:szCs w:val="20"/>
          <w:lang w:val="id-ID"/>
        </w:rPr>
        <w:t>. Sialolithiasis terjadi te</w:t>
      </w:r>
      <w:r w:rsidR="004F2BCA">
        <w:rPr>
          <w:rFonts w:ascii="Trebuchet MS" w:hAnsi="Trebuchet MS"/>
          <w:sz w:val="20"/>
          <w:szCs w:val="20"/>
          <w:lang w:val="id-ID"/>
        </w:rPr>
        <w:t>rutama di kelenjar submandibula</w:t>
      </w:r>
      <w:r w:rsidRPr="00235DB6">
        <w:rPr>
          <w:rFonts w:ascii="Trebuchet MS" w:hAnsi="Trebuchet MS"/>
          <w:sz w:val="20"/>
          <w:szCs w:val="20"/>
          <w:lang w:val="id-ID"/>
        </w:rPr>
        <w:t xml:space="preserve"> (80-90%) dan pada tingkat yang lebih rendah di kelenjar parotid (5-20%). Sialolith</w:t>
      </w:r>
      <w:r w:rsidR="00D42588">
        <w:rPr>
          <w:rFonts w:ascii="Trebuchet MS" w:hAnsi="Trebuchet MS"/>
          <w:sz w:val="20"/>
          <w:szCs w:val="20"/>
          <w:lang w:val="id-ID"/>
        </w:rPr>
        <w:t xml:space="preserve"> bisa tunggal atau multipel</w:t>
      </w:r>
      <w:r w:rsidR="00320708">
        <w:rPr>
          <w:rFonts w:ascii="Trebuchet MS" w:hAnsi="Trebuchet MS"/>
          <w:sz w:val="20"/>
          <w:szCs w:val="20"/>
          <w:lang w:val="id-ID"/>
        </w:rPr>
        <w:t xml:space="preserve">. Multipel </w:t>
      </w:r>
      <w:r w:rsidRPr="00235DB6">
        <w:rPr>
          <w:rFonts w:ascii="Trebuchet MS" w:hAnsi="Trebuchet MS"/>
          <w:sz w:val="20"/>
          <w:szCs w:val="20"/>
          <w:lang w:val="id-ID"/>
        </w:rPr>
        <w:t>sialolith</w:t>
      </w:r>
      <w:r w:rsidR="00D42588">
        <w:rPr>
          <w:rFonts w:ascii="Trebuchet MS" w:hAnsi="Trebuchet MS"/>
          <w:sz w:val="20"/>
          <w:szCs w:val="20"/>
        </w:rPr>
        <w:t>iasis</w:t>
      </w:r>
      <w:r w:rsidRPr="00235DB6">
        <w:rPr>
          <w:rFonts w:ascii="Trebuchet MS" w:hAnsi="Trebuchet MS"/>
          <w:sz w:val="20"/>
          <w:szCs w:val="20"/>
          <w:lang w:val="id-ID"/>
        </w:rPr>
        <w:t xml:space="preserve"> di kelenjar s</w:t>
      </w:r>
      <w:r w:rsidR="004F2BCA">
        <w:rPr>
          <w:rFonts w:ascii="Trebuchet MS" w:hAnsi="Trebuchet MS"/>
          <w:sz w:val="20"/>
          <w:szCs w:val="20"/>
          <w:lang w:val="id-ID"/>
        </w:rPr>
        <w:t>ubmandibula</w:t>
      </w:r>
      <w:r w:rsidR="00973AF3">
        <w:rPr>
          <w:rFonts w:ascii="Trebuchet MS" w:hAnsi="Trebuchet MS"/>
          <w:sz w:val="20"/>
          <w:szCs w:val="20"/>
          <w:lang w:val="id-ID"/>
        </w:rPr>
        <w:t xml:space="preserve"> jarang terjadi. Tujuhpuluh dari 80% </w:t>
      </w:r>
      <w:r w:rsidR="00D42588">
        <w:rPr>
          <w:rFonts w:ascii="Trebuchet MS" w:hAnsi="Trebuchet MS"/>
          <w:sz w:val="20"/>
          <w:szCs w:val="20"/>
          <w:lang w:val="id-ID"/>
        </w:rPr>
        <w:t>kasus memiliki batu tunggal,</w:t>
      </w:r>
      <w:r w:rsidRPr="00235DB6">
        <w:rPr>
          <w:rFonts w:ascii="Trebuchet MS" w:hAnsi="Trebuchet MS"/>
          <w:sz w:val="20"/>
          <w:szCs w:val="20"/>
          <w:lang w:val="id-ID"/>
        </w:rPr>
        <w:t xml:space="preserve"> hanya sekitar 5% pasien yang memiliki tiga atau lebih batu. Faktor etiopathogenic terkait dengan pembentukan batu adalah obstruksi, penurunan laju aliran saliva, d</w:t>
      </w:r>
      <w:r w:rsidR="005021B0">
        <w:rPr>
          <w:rFonts w:ascii="Trebuchet MS" w:hAnsi="Trebuchet MS"/>
          <w:sz w:val="20"/>
          <w:szCs w:val="20"/>
          <w:lang w:val="id-ID"/>
        </w:rPr>
        <w:t xml:space="preserve">ehidrasi, infeksi </w:t>
      </w:r>
      <w:r w:rsidR="005021B0">
        <w:rPr>
          <w:rFonts w:ascii="Trebuchet MS" w:hAnsi="Trebuchet MS"/>
          <w:sz w:val="20"/>
          <w:szCs w:val="20"/>
        </w:rPr>
        <w:t>kelenjar saliva</w:t>
      </w:r>
      <w:r w:rsidRPr="00235DB6">
        <w:rPr>
          <w:rFonts w:ascii="Trebuchet MS" w:hAnsi="Trebuchet MS"/>
          <w:sz w:val="20"/>
          <w:szCs w:val="20"/>
          <w:lang w:val="id-ID"/>
        </w:rPr>
        <w:t xml:space="preserve">, dan </w:t>
      </w:r>
      <w:r w:rsidR="00D42588">
        <w:rPr>
          <w:rFonts w:ascii="Trebuchet MS" w:hAnsi="Trebuchet MS"/>
          <w:sz w:val="20"/>
          <w:szCs w:val="20"/>
        </w:rPr>
        <w:t xml:space="preserve">terganggunya </w:t>
      </w:r>
      <w:r w:rsidR="00D42588">
        <w:rPr>
          <w:rFonts w:ascii="Trebuchet MS" w:hAnsi="Trebuchet MS"/>
          <w:sz w:val="20"/>
          <w:szCs w:val="20"/>
          <w:lang w:val="id-ID"/>
        </w:rPr>
        <w:t>kelarutan kristaloid</w:t>
      </w:r>
      <w:r w:rsidRPr="00235DB6">
        <w:rPr>
          <w:rFonts w:ascii="Trebuchet MS" w:hAnsi="Trebuchet MS"/>
          <w:sz w:val="20"/>
          <w:szCs w:val="20"/>
          <w:lang w:val="id-ID"/>
        </w:rPr>
        <w:t xml:space="preserve">. </w:t>
      </w:r>
      <w:r w:rsidRPr="00235DB6">
        <w:rPr>
          <w:rFonts w:ascii="Trebuchet MS" w:hAnsi="Trebuchet MS"/>
          <w:b/>
          <w:sz w:val="20"/>
          <w:szCs w:val="20"/>
          <w:lang w:val="id-ID"/>
        </w:rPr>
        <w:t>Metode:</w:t>
      </w:r>
      <w:r w:rsidRPr="00235DB6">
        <w:rPr>
          <w:rFonts w:ascii="Trebuchet MS" w:hAnsi="Trebuchet MS"/>
          <w:sz w:val="20"/>
          <w:szCs w:val="20"/>
          <w:lang w:val="id-ID"/>
        </w:rPr>
        <w:t xml:space="preserve"> Seorang wani</w:t>
      </w:r>
      <w:r w:rsidR="00320708">
        <w:rPr>
          <w:rFonts w:ascii="Trebuchet MS" w:hAnsi="Trebuchet MS"/>
          <w:sz w:val="20"/>
          <w:szCs w:val="20"/>
          <w:lang w:val="id-ID"/>
        </w:rPr>
        <w:t xml:space="preserve">ta 24 tahun datang </w:t>
      </w:r>
      <w:r w:rsidRPr="00235DB6">
        <w:rPr>
          <w:rFonts w:ascii="Trebuchet MS" w:hAnsi="Trebuchet MS"/>
          <w:sz w:val="20"/>
          <w:szCs w:val="20"/>
          <w:lang w:val="id-ID"/>
        </w:rPr>
        <w:t>dengan pembengka</w:t>
      </w:r>
      <w:r w:rsidR="00973AF3">
        <w:rPr>
          <w:rFonts w:ascii="Trebuchet MS" w:hAnsi="Trebuchet MS"/>
          <w:sz w:val="20"/>
          <w:szCs w:val="20"/>
          <w:lang w:val="id-ID"/>
        </w:rPr>
        <w:t>kan dan nyeri pada submandibula</w:t>
      </w:r>
      <w:r w:rsidR="00133798">
        <w:rPr>
          <w:rFonts w:ascii="Trebuchet MS" w:hAnsi="Trebuchet MS"/>
          <w:sz w:val="20"/>
          <w:szCs w:val="20"/>
          <w:lang w:val="id-ID"/>
        </w:rPr>
        <w:t xml:space="preserve"> kanan</w:t>
      </w:r>
      <w:r w:rsidR="005021B0">
        <w:rPr>
          <w:rFonts w:ascii="Trebuchet MS" w:hAnsi="Trebuchet MS"/>
          <w:sz w:val="20"/>
          <w:szCs w:val="20"/>
        </w:rPr>
        <w:t xml:space="preserve">. </w:t>
      </w:r>
      <w:r w:rsidRPr="00235DB6">
        <w:rPr>
          <w:rFonts w:ascii="Trebuchet MS" w:hAnsi="Trebuchet MS"/>
          <w:sz w:val="20"/>
          <w:szCs w:val="20"/>
          <w:lang w:val="id-ID"/>
        </w:rPr>
        <w:t>Radiografi panorami</w:t>
      </w:r>
      <w:r w:rsidR="009575FB">
        <w:rPr>
          <w:rFonts w:ascii="Trebuchet MS" w:hAnsi="Trebuchet MS"/>
          <w:sz w:val="20"/>
          <w:szCs w:val="20"/>
          <w:lang w:val="id-ID"/>
        </w:rPr>
        <w:t>k menunjukkan massa radiopa</w:t>
      </w:r>
      <w:r w:rsidR="009575FB">
        <w:rPr>
          <w:rFonts w:ascii="Trebuchet MS" w:hAnsi="Trebuchet MS"/>
          <w:sz w:val="20"/>
          <w:szCs w:val="20"/>
        </w:rPr>
        <w:t>k</w:t>
      </w:r>
      <w:r w:rsidRPr="00235DB6">
        <w:rPr>
          <w:rFonts w:ascii="Trebuchet MS" w:hAnsi="Trebuchet MS"/>
          <w:sz w:val="20"/>
          <w:szCs w:val="20"/>
          <w:lang w:val="id-ID"/>
        </w:rPr>
        <w:t xml:space="preserve"> dengan terdefinisi</w:t>
      </w:r>
      <w:r w:rsidR="00AC68FB">
        <w:rPr>
          <w:rFonts w:ascii="Trebuchet MS" w:hAnsi="Trebuchet MS"/>
          <w:sz w:val="20"/>
          <w:szCs w:val="20"/>
          <w:lang w:val="id-ID"/>
        </w:rPr>
        <w:t xml:space="preserve"> dengan baik dalam submandibula</w:t>
      </w:r>
      <w:r w:rsidRPr="00235DB6">
        <w:rPr>
          <w:rFonts w:ascii="Trebuchet MS" w:hAnsi="Trebuchet MS"/>
          <w:sz w:val="20"/>
          <w:szCs w:val="20"/>
          <w:lang w:val="id-ID"/>
        </w:rPr>
        <w:t xml:space="preserve"> kanan. Interpretasi ultrasonografi menunjukkan massa tak homogen </w:t>
      </w:r>
      <w:r w:rsidRPr="009575FB">
        <w:rPr>
          <w:rFonts w:ascii="Trebuchet MS" w:hAnsi="Trebuchet MS"/>
          <w:i/>
          <w:sz w:val="20"/>
          <w:szCs w:val="20"/>
          <w:lang w:val="id-ID"/>
        </w:rPr>
        <w:t>hypoechoic</w:t>
      </w:r>
      <w:r w:rsidRPr="00235DB6">
        <w:rPr>
          <w:rFonts w:ascii="Trebuchet MS" w:hAnsi="Trebuchet MS"/>
          <w:sz w:val="20"/>
          <w:szCs w:val="20"/>
          <w:lang w:val="id-ID"/>
        </w:rPr>
        <w:t xml:space="preserve"> dengan kalsifikasi ganda. </w:t>
      </w:r>
      <w:r w:rsidR="009D633E">
        <w:rPr>
          <w:rFonts w:ascii="Trebuchet MS" w:hAnsi="Trebuchet MS"/>
          <w:sz w:val="20"/>
          <w:szCs w:val="20"/>
          <w:lang w:val="id-ID"/>
        </w:rPr>
        <w:t>Pengangkatan</w:t>
      </w:r>
      <w:r w:rsidR="00973AF3">
        <w:rPr>
          <w:rFonts w:ascii="Trebuchet MS" w:hAnsi="Trebuchet MS"/>
          <w:sz w:val="20"/>
          <w:szCs w:val="20"/>
          <w:lang w:val="id-ID"/>
        </w:rPr>
        <w:t xml:space="preserve"> kelenjar submandibula</w:t>
      </w:r>
      <w:r w:rsidRPr="00235DB6">
        <w:rPr>
          <w:rFonts w:ascii="Trebuchet MS" w:hAnsi="Trebuchet MS"/>
          <w:sz w:val="20"/>
          <w:szCs w:val="20"/>
          <w:lang w:val="id-ID"/>
        </w:rPr>
        <w:t xml:space="preserve"> dilakukan dengan pendekatan ekstraoral. </w:t>
      </w:r>
      <w:r w:rsidRPr="00235DB6">
        <w:rPr>
          <w:rFonts w:ascii="Trebuchet MS" w:hAnsi="Trebuchet MS"/>
          <w:b/>
          <w:sz w:val="20"/>
          <w:szCs w:val="20"/>
          <w:lang w:val="id-ID"/>
        </w:rPr>
        <w:t>Hasil:</w:t>
      </w:r>
      <w:r w:rsidR="00D42588">
        <w:rPr>
          <w:rFonts w:ascii="Trebuchet MS" w:hAnsi="Trebuchet MS"/>
          <w:sz w:val="20"/>
          <w:szCs w:val="20"/>
          <w:lang w:val="id-ID"/>
        </w:rPr>
        <w:t xml:space="preserve"> </w:t>
      </w:r>
      <w:r w:rsidRPr="00235DB6">
        <w:rPr>
          <w:rFonts w:ascii="Trebuchet MS" w:hAnsi="Trebuchet MS"/>
          <w:sz w:val="20"/>
          <w:szCs w:val="20"/>
          <w:lang w:val="id-ID"/>
        </w:rPr>
        <w:t>Pendekatan bedah untuk menghilangkan sia</w:t>
      </w:r>
      <w:r w:rsidR="00973AF3">
        <w:rPr>
          <w:rFonts w:ascii="Trebuchet MS" w:hAnsi="Trebuchet MS"/>
          <w:sz w:val="20"/>
          <w:szCs w:val="20"/>
          <w:lang w:val="id-ID"/>
        </w:rPr>
        <w:t>lolith di kelenjar submandibula</w:t>
      </w:r>
      <w:r w:rsidRPr="00235DB6">
        <w:rPr>
          <w:rFonts w:ascii="Trebuchet MS" w:hAnsi="Trebuchet MS"/>
          <w:sz w:val="20"/>
          <w:szCs w:val="20"/>
          <w:lang w:val="id-ID"/>
        </w:rPr>
        <w:t xml:space="preserve"> bisa intraoral atau ekstraoral. Dalam lapor</w:t>
      </w:r>
      <w:r w:rsidR="00D42588">
        <w:rPr>
          <w:rFonts w:ascii="Trebuchet MS" w:hAnsi="Trebuchet MS"/>
          <w:sz w:val="20"/>
          <w:szCs w:val="20"/>
          <w:lang w:val="id-ID"/>
        </w:rPr>
        <w:t xml:space="preserve">an kasus ini, menunjukkan </w:t>
      </w:r>
      <w:r w:rsidR="00080602">
        <w:rPr>
          <w:rFonts w:ascii="Trebuchet MS" w:hAnsi="Trebuchet MS"/>
          <w:sz w:val="20"/>
          <w:szCs w:val="20"/>
          <w:lang w:val="id-ID"/>
        </w:rPr>
        <w:t xml:space="preserve">gambaran </w:t>
      </w:r>
      <w:r w:rsidR="00D42588">
        <w:rPr>
          <w:rFonts w:ascii="Trebuchet MS" w:hAnsi="Trebuchet MS"/>
          <w:sz w:val="20"/>
          <w:szCs w:val="20"/>
        </w:rPr>
        <w:t>sebanyak</w:t>
      </w:r>
      <w:r w:rsidR="003C7927">
        <w:rPr>
          <w:rFonts w:ascii="Trebuchet MS" w:hAnsi="Trebuchet MS"/>
          <w:sz w:val="20"/>
          <w:szCs w:val="20"/>
          <w:lang w:val="id-ID"/>
        </w:rPr>
        <w:t xml:space="preserve"> sembilan</w:t>
      </w:r>
      <w:r w:rsidR="00973AF3">
        <w:rPr>
          <w:rFonts w:ascii="Trebuchet MS" w:hAnsi="Trebuchet MS"/>
          <w:sz w:val="20"/>
          <w:szCs w:val="20"/>
          <w:lang w:val="id-ID"/>
        </w:rPr>
        <w:t xml:space="preserve"> batu di kelenjar submandibula</w:t>
      </w:r>
      <w:r w:rsidRPr="00235DB6">
        <w:rPr>
          <w:rFonts w:ascii="Trebuchet MS" w:hAnsi="Trebuchet MS"/>
          <w:sz w:val="20"/>
          <w:szCs w:val="20"/>
          <w:lang w:val="id-ID"/>
        </w:rPr>
        <w:t xml:space="preserve">, yang dihilangkan dengan pendekatan ekstraoral. </w:t>
      </w:r>
      <w:r w:rsidR="00647C0E">
        <w:rPr>
          <w:rFonts w:ascii="Trebuchet MS" w:hAnsi="Trebuchet MS"/>
          <w:b/>
          <w:sz w:val="20"/>
          <w:szCs w:val="20"/>
          <w:lang w:val="id-ID"/>
        </w:rPr>
        <w:t>S</w:t>
      </w:r>
      <w:r w:rsidRPr="009D633E">
        <w:rPr>
          <w:rFonts w:ascii="Trebuchet MS" w:hAnsi="Trebuchet MS"/>
          <w:b/>
          <w:sz w:val="20"/>
          <w:szCs w:val="20"/>
          <w:lang w:val="id-ID"/>
        </w:rPr>
        <w:t>impulan:</w:t>
      </w:r>
      <w:r w:rsidRPr="009D633E">
        <w:rPr>
          <w:rFonts w:ascii="Trebuchet MS" w:hAnsi="Trebuchet MS"/>
          <w:sz w:val="20"/>
          <w:szCs w:val="20"/>
          <w:lang w:val="id-ID"/>
        </w:rPr>
        <w:t xml:space="preserve"> </w:t>
      </w:r>
      <w:r w:rsidR="005021B0">
        <w:rPr>
          <w:rFonts w:ascii="Trebuchet MS" w:hAnsi="Trebuchet MS"/>
          <w:sz w:val="20"/>
          <w:szCs w:val="20"/>
        </w:rPr>
        <w:t xml:space="preserve">Etiopatogenesis pada kasus </w:t>
      </w:r>
      <w:r w:rsidR="00133798">
        <w:rPr>
          <w:rFonts w:ascii="Trebuchet MS" w:hAnsi="Trebuchet MS"/>
          <w:sz w:val="20"/>
          <w:szCs w:val="20"/>
        </w:rPr>
        <w:t>ini diduga dari</w:t>
      </w:r>
      <w:r w:rsidR="005021B0">
        <w:rPr>
          <w:rFonts w:ascii="Trebuchet MS" w:hAnsi="Trebuchet MS"/>
          <w:sz w:val="20"/>
          <w:szCs w:val="20"/>
        </w:rPr>
        <w:t xml:space="preserve"> infeksi</w:t>
      </w:r>
      <w:r w:rsidR="00133798">
        <w:rPr>
          <w:rFonts w:ascii="Trebuchet MS" w:hAnsi="Trebuchet MS"/>
          <w:sz w:val="20"/>
          <w:szCs w:val="20"/>
        </w:rPr>
        <w:t xml:space="preserve"> duktus sehingga menimbulkan </w:t>
      </w:r>
      <w:r w:rsidR="005021B0">
        <w:rPr>
          <w:rFonts w:ascii="Trebuchet MS" w:hAnsi="Trebuchet MS"/>
          <w:sz w:val="20"/>
          <w:szCs w:val="20"/>
        </w:rPr>
        <w:t xml:space="preserve">sumbatan pada kelenjar saliva submandibula kanan. </w:t>
      </w:r>
      <w:r w:rsidR="00953B78">
        <w:rPr>
          <w:rFonts w:ascii="Trebuchet MS" w:hAnsi="Trebuchet MS"/>
          <w:sz w:val="20"/>
          <w:szCs w:val="20"/>
        </w:rPr>
        <w:t>P</w:t>
      </w:r>
      <w:r w:rsidRPr="00235DB6">
        <w:rPr>
          <w:rFonts w:ascii="Trebuchet MS" w:hAnsi="Trebuchet MS"/>
          <w:sz w:val="20"/>
          <w:szCs w:val="20"/>
          <w:lang w:val="id-ID"/>
        </w:rPr>
        <w:t>engangkatan kelenjar subma</w:t>
      </w:r>
      <w:r w:rsidR="005021B0">
        <w:rPr>
          <w:rFonts w:ascii="Trebuchet MS" w:hAnsi="Trebuchet MS"/>
          <w:sz w:val="20"/>
          <w:szCs w:val="20"/>
          <w:lang w:val="id-ID"/>
        </w:rPr>
        <w:t>ndibula</w:t>
      </w:r>
      <w:r w:rsidR="00973AF3">
        <w:rPr>
          <w:rFonts w:ascii="Trebuchet MS" w:hAnsi="Trebuchet MS"/>
          <w:sz w:val="20"/>
          <w:szCs w:val="20"/>
        </w:rPr>
        <w:t xml:space="preserve"> beserta </w:t>
      </w:r>
      <w:r w:rsidR="00D42588">
        <w:rPr>
          <w:rFonts w:ascii="Trebuchet MS" w:hAnsi="Trebuchet MS"/>
          <w:sz w:val="20"/>
          <w:szCs w:val="20"/>
          <w:lang w:val="id-ID"/>
        </w:rPr>
        <w:t>batu dilakukan sebagai standar baku perawatan</w:t>
      </w:r>
      <w:r w:rsidRPr="00235DB6">
        <w:rPr>
          <w:rFonts w:ascii="Trebuchet MS" w:hAnsi="Trebuchet MS"/>
          <w:sz w:val="20"/>
          <w:szCs w:val="20"/>
          <w:lang w:val="id-ID"/>
        </w:rPr>
        <w:t xml:space="preserve"> dan dapat menghindari kekambuhan. </w:t>
      </w:r>
    </w:p>
    <w:p w:rsidR="00235DB6" w:rsidRPr="009D633E" w:rsidRDefault="00235DB6" w:rsidP="00973AF3">
      <w:pPr>
        <w:spacing w:after="0" w:line="240" w:lineRule="auto"/>
        <w:jc w:val="both"/>
        <w:rPr>
          <w:rFonts w:ascii="Trebuchet MS" w:hAnsi="Trebuchet MS"/>
          <w:sz w:val="20"/>
          <w:szCs w:val="20"/>
        </w:rPr>
      </w:pPr>
      <w:r w:rsidRPr="00235DB6">
        <w:rPr>
          <w:rFonts w:ascii="Trebuchet MS" w:hAnsi="Trebuchet MS"/>
          <w:b/>
          <w:sz w:val="20"/>
          <w:szCs w:val="20"/>
          <w:lang w:val="id-ID"/>
        </w:rPr>
        <w:t xml:space="preserve">Kata kunci: </w:t>
      </w:r>
      <w:r w:rsidR="00647C0E">
        <w:rPr>
          <w:rFonts w:ascii="Trebuchet MS" w:hAnsi="Trebuchet MS"/>
          <w:sz w:val="20"/>
          <w:szCs w:val="20"/>
          <w:lang w:val="id-ID"/>
        </w:rPr>
        <w:t>Multip</w:t>
      </w:r>
      <w:r w:rsidR="00647C0E" w:rsidRPr="00235DB6">
        <w:rPr>
          <w:rFonts w:ascii="Trebuchet MS" w:hAnsi="Trebuchet MS"/>
          <w:sz w:val="20"/>
          <w:szCs w:val="20"/>
          <w:lang w:val="id-ID"/>
        </w:rPr>
        <w:t>e</w:t>
      </w:r>
      <w:r w:rsidR="00647C0E">
        <w:rPr>
          <w:rFonts w:ascii="Trebuchet MS" w:hAnsi="Trebuchet MS"/>
          <w:sz w:val="20"/>
          <w:szCs w:val="20"/>
        </w:rPr>
        <w:t>l</w:t>
      </w:r>
      <w:r w:rsidR="00647C0E">
        <w:rPr>
          <w:rFonts w:ascii="Trebuchet MS" w:hAnsi="Trebuchet MS"/>
          <w:sz w:val="20"/>
          <w:szCs w:val="20"/>
          <w:lang w:val="id-ID"/>
        </w:rPr>
        <w:t xml:space="preserve">, </w:t>
      </w:r>
      <w:r w:rsidR="00D42588">
        <w:rPr>
          <w:rFonts w:ascii="Trebuchet MS" w:hAnsi="Trebuchet MS"/>
          <w:sz w:val="20"/>
          <w:szCs w:val="20"/>
          <w:lang w:val="id-ID"/>
        </w:rPr>
        <w:t xml:space="preserve">Sialolithiasis, </w:t>
      </w:r>
      <w:r w:rsidR="00080602">
        <w:rPr>
          <w:rFonts w:ascii="Trebuchet MS" w:hAnsi="Trebuchet MS"/>
          <w:sz w:val="20"/>
          <w:szCs w:val="20"/>
          <w:lang w:val="id-ID"/>
        </w:rPr>
        <w:t>K</w:t>
      </w:r>
      <w:r w:rsidR="00973AF3">
        <w:rPr>
          <w:rFonts w:ascii="Trebuchet MS" w:hAnsi="Trebuchet MS"/>
          <w:sz w:val="20"/>
          <w:szCs w:val="20"/>
          <w:lang w:val="id-ID"/>
        </w:rPr>
        <w:t>elenjar submandibula</w:t>
      </w:r>
      <w:r w:rsidR="00080602">
        <w:rPr>
          <w:rFonts w:ascii="Trebuchet MS" w:hAnsi="Trebuchet MS"/>
          <w:sz w:val="20"/>
          <w:szCs w:val="20"/>
        </w:rPr>
        <w:t>.</w:t>
      </w:r>
    </w:p>
    <w:p w:rsidR="00235DB6" w:rsidRDefault="00235DB6" w:rsidP="00235DB6">
      <w:pPr>
        <w:spacing w:after="0" w:line="276" w:lineRule="auto"/>
        <w:jc w:val="both"/>
        <w:rPr>
          <w:rFonts w:ascii="Trebuchet MS" w:hAnsi="Trebuchet MS"/>
          <w:sz w:val="20"/>
          <w:szCs w:val="20"/>
          <w:lang w:val="id-ID"/>
        </w:rPr>
      </w:pPr>
    </w:p>
    <w:p w:rsidR="00235DB6" w:rsidRPr="00235DB6" w:rsidRDefault="00235DB6" w:rsidP="00235DB6">
      <w:pPr>
        <w:tabs>
          <w:tab w:val="left" w:pos="8010"/>
        </w:tabs>
        <w:spacing w:after="0" w:line="240" w:lineRule="auto"/>
        <w:jc w:val="both"/>
        <w:rPr>
          <w:rFonts w:ascii="Trebuchet MS" w:hAnsi="Trebuchet MS" w:cs="Times New Roman"/>
          <w:b/>
          <w:sz w:val="20"/>
          <w:szCs w:val="24"/>
        </w:rPr>
      </w:pPr>
      <w:r>
        <w:rPr>
          <w:rFonts w:ascii="Trebuchet MS" w:hAnsi="Trebuchet MS" w:cs="Times New Roman"/>
          <w:b/>
          <w:sz w:val="20"/>
          <w:szCs w:val="24"/>
        </w:rPr>
        <w:t>Korespondensi</w:t>
      </w:r>
      <w:r w:rsidRPr="003D46DE">
        <w:rPr>
          <w:rFonts w:ascii="Trebuchet MS" w:hAnsi="Trebuchet MS" w:cs="Times New Roman"/>
          <w:b/>
          <w:sz w:val="20"/>
          <w:szCs w:val="24"/>
        </w:rPr>
        <w:t xml:space="preserve"> : </w:t>
      </w:r>
      <w:r w:rsidRPr="003D46DE">
        <w:rPr>
          <w:rFonts w:ascii="Trebuchet MS" w:hAnsi="Trebuchet MS" w:cs="Times New Roman"/>
          <w:sz w:val="20"/>
          <w:szCs w:val="24"/>
        </w:rPr>
        <w:t>Nyoman Ayu Anggayanti, Tubagus Ismail XIV no 28 A Bandung, Indonesia 40134</w:t>
      </w:r>
    </w:p>
    <w:p w:rsidR="00235DB6" w:rsidRPr="003D46DE" w:rsidRDefault="00235DB6" w:rsidP="00235DB6">
      <w:pPr>
        <w:pStyle w:val="ListParagraph"/>
        <w:spacing w:after="0" w:line="240" w:lineRule="auto"/>
        <w:ind w:left="0"/>
        <w:jc w:val="both"/>
        <w:rPr>
          <w:rFonts w:ascii="Trebuchet MS" w:hAnsi="Trebuchet MS" w:cs="Times New Roman"/>
          <w:sz w:val="20"/>
          <w:szCs w:val="24"/>
        </w:rPr>
      </w:pPr>
      <w:r w:rsidRPr="003D46DE">
        <w:rPr>
          <w:rFonts w:ascii="Trebuchet MS" w:hAnsi="Trebuchet MS" w:cs="Times New Roman"/>
          <w:sz w:val="20"/>
          <w:szCs w:val="24"/>
        </w:rPr>
        <w:t>Hp : 08113853707, Email : anggayanti@gmail.com</w:t>
      </w:r>
    </w:p>
    <w:p w:rsidR="00235DB6" w:rsidRDefault="00235DB6"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235DB6">
      <w:pPr>
        <w:spacing w:after="0" w:line="276" w:lineRule="auto"/>
        <w:jc w:val="both"/>
        <w:rPr>
          <w:rFonts w:ascii="Trebuchet MS" w:hAnsi="Trebuchet MS" w:cs="Times New Roman"/>
          <w:b/>
          <w:sz w:val="20"/>
          <w:szCs w:val="20"/>
        </w:rPr>
      </w:pPr>
    </w:p>
    <w:p w:rsidR="00DE1D3F" w:rsidRDefault="00DE1D3F" w:rsidP="00DE1D3F">
      <w:pPr>
        <w:spacing w:after="0" w:line="480" w:lineRule="auto"/>
        <w:jc w:val="both"/>
        <w:rPr>
          <w:rFonts w:ascii="Trebuchet MS" w:hAnsi="Trebuchet MS" w:cs="Times New Roman"/>
          <w:b/>
          <w:sz w:val="20"/>
          <w:szCs w:val="20"/>
        </w:rPr>
      </w:pPr>
      <w:r>
        <w:rPr>
          <w:rFonts w:ascii="Trebuchet MS" w:hAnsi="Trebuchet MS" w:cs="Times New Roman"/>
          <w:b/>
          <w:sz w:val="20"/>
          <w:szCs w:val="20"/>
        </w:rPr>
        <w:t>Introduction</w:t>
      </w:r>
    </w:p>
    <w:p w:rsidR="00DE1D3F" w:rsidRDefault="00DE1D3F" w:rsidP="00DE1D3F">
      <w:pPr>
        <w:spacing w:after="0" w:line="480" w:lineRule="auto"/>
        <w:ind w:firstLine="720"/>
        <w:jc w:val="both"/>
        <w:rPr>
          <w:rFonts w:ascii="Trebuchet MS" w:hAnsi="Trebuchet MS" w:cs="Times New Roman"/>
          <w:sz w:val="20"/>
          <w:szCs w:val="20"/>
        </w:rPr>
      </w:pPr>
      <w:r>
        <w:rPr>
          <w:rFonts w:ascii="Trebuchet MS" w:hAnsi="Trebuchet MS" w:cs="Times New Roman"/>
          <w:sz w:val="20"/>
          <w:szCs w:val="20"/>
        </w:rPr>
        <w:t>Sialolithiasis is a most common salivary gland disease. Submandibular gland disease are most prevalent in mid-age with incidence of 12 in 1000 of adult population.</w:t>
      </w:r>
      <w:r w:rsidR="007D014C">
        <w:rPr>
          <w:rFonts w:ascii="Trebuchet MS" w:hAnsi="Trebuchet MS" w:cs="Times New Roman"/>
          <w:sz w:val="20"/>
          <w:szCs w:val="20"/>
        </w:rPr>
        <w:t xml:space="preserve"> The peak incidence is between the ages of 30 to 50 years</w:t>
      </w:r>
      <w:r w:rsidR="007D014C" w:rsidRPr="007D014C">
        <w:rPr>
          <w:rFonts w:ascii="Trebuchet MS" w:hAnsi="Trebuchet MS" w:cs="Times New Roman"/>
          <w:sz w:val="20"/>
          <w:szCs w:val="20"/>
          <w:vertAlign w:val="superscript"/>
        </w:rPr>
        <w:t>1,2</w:t>
      </w:r>
      <w:r>
        <w:rPr>
          <w:rFonts w:ascii="Trebuchet MS" w:hAnsi="Trebuchet MS" w:cs="Times New Roman"/>
          <w:sz w:val="20"/>
          <w:szCs w:val="20"/>
        </w:rPr>
        <w:t xml:space="preserve"> The sialolithiasis generally occurs in the submandibular glands with prevalence of more than 80%, about 6% in the parotid gland and 2% in the sublingual gland or minor salivary glands. Sialolith can be either single or multiple stones. The prevalence of multiple sialolith in submandibular gland are rare.</w:t>
      </w:r>
      <w:r w:rsidR="007D014C" w:rsidRPr="007D014C">
        <w:rPr>
          <w:rFonts w:ascii="Trebuchet MS" w:hAnsi="Trebuchet MS" w:cs="Times New Roman"/>
          <w:sz w:val="20"/>
          <w:szCs w:val="20"/>
          <w:vertAlign w:val="superscript"/>
        </w:rPr>
        <w:t>2</w:t>
      </w:r>
      <w:r>
        <w:rPr>
          <w:rFonts w:ascii="Trebuchet MS" w:hAnsi="Trebuchet MS" w:cs="Times New Roman"/>
          <w:sz w:val="20"/>
          <w:szCs w:val="20"/>
        </w:rPr>
        <w:t xml:space="preserve"> Approximately 70-80% of cases are solitary stone, only about 5% of cases that have three or more stones in the salivary glands.</w:t>
      </w:r>
      <w:r w:rsidR="007D014C" w:rsidRPr="007D014C">
        <w:rPr>
          <w:rFonts w:ascii="Trebuchet MS" w:hAnsi="Trebuchet MS" w:cs="Times New Roman"/>
          <w:sz w:val="20"/>
          <w:szCs w:val="20"/>
          <w:vertAlign w:val="superscript"/>
        </w:rPr>
        <w:t>1</w:t>
      </w:r>
      <w:r>
        <w:rPr>
          <w:rFonts w:ascii="Trebuchet MS" w:hAnsi="Trebuchet MS" w:cs="Times New Roman"/>
          <w:sz w:val="20"/>
          <w:szCs w:val="20"/>
        </w:rPr>
        <w:t xml:space="preserve"> Salivary gland stones are generally unilateral and does not cause dry mouth. Clinically, salivary stones are round or oval, rough or smooth and yellowish.</w:t>
      </w:r>
      <w:r w:rsidR="007D014C" w:rsidRPr="007D014C">
        <w:rPr>
          <w:rFonts w:ascii="Trebuchet MS" w:hAnsi="Trebuchet MS" w:cs="Times New Roman"/>
          <w:sz w:val="20"/>
          <w:szCs w:val="20"/>
          <w:vertAlign w:val="superscript"/>
        </w:rPr>
        <w:t>2</w:t>
      </w:r>
    </w:p>
    <w:p w:rsidR="00DE1D3F" w:rsidRDefault="00DE1D3F" w:rsidP="00DE1D3F">
      <w:pPr>
        <w:spacing w:after="0" w:line="480" w:lineRule="auto"/>
        <w:ind w:firstLine="720"/>
        <w:jc w:val="both"/>
        <w:rPr>
          <w:rFonts w:ascii="Trebuchet MS" w:hAnsi="Trebuchet MS" w:cs="Times New Roman"/>
          <w:sz w:val="20"/>
          <w:szCs w:val="20"/>
        </w:rPr>
      </w:pPr>
      <w:r>
        <w:rPr>
          <w:rFonts w:ascii="Trebuchet MS" w:hAnsi="Trebuchet MS" w:cs="Times New Roman"/>
          <w:sz w:val="20"/>
          <w:szCs w:val="20"/>
        </w:rPr>
        <w:t>Sialolith stone comprises</w:t>
      </w:r>
      <w:r w:rsidR="007D014C">
        <w:rPr>
          <w:rFonts w:ascii="Trebuchet MS" w:hAnsi="Trebuchet MS" w:cs="Times New Roman"/>
          <w:sz w:val="20"/>
          <w:szCs w:val="20"/>
        </w:rPr>
        <w:t xml:space="preserve"> </w:t>
      </w:r>
      <w:r>
        <w:rPr>
          <w:rFonts w:ascii="Trebuchet MS" w:hAnsi="Trebuchet MS" w:cs="Times New Roman"/>
          <w:sz w:val="20"/>
          <w:szCs w:val="20"/>
        </w:rPr>
        <w:t>of less amount of calcium phosphate compare to carbonate in the form of hydroxyapatite, which is also lesser than magnesium, potassium and ammonia.</w:t>
      </w:r>
      <w:r w:rsidR="007D014C" w:rsidRPr="007D014C">
        <w:rPr>
          <w:rFonts w:ascii="Trebuchet MS" w:hAnsi="Trebuchet MS" w:cs="Times New Roman"/>
          <w:sz w:val="20"/>
          <w:szCs w:val="20"/>
          <w:vertAlign w:val="superscript"/>
        </w:rPr>
        <w:t>1-3</w:t>
      </w:r>
      <w:r>
        <w:rPr>
          <w:rFonts w:ascii="Trebuchet MS" w:hAnsi="Trebuchet MS" w:cs="Times New Roman"/>
          <w:sz w:val="20"/>
          <w:szCs w:val="20"/>
        </w:rPr>
        <w:t xml:space="preserve"> The composition of submandibular gland stones consists of 82% inorganic and 18% organic materials and the composition of parotid gland stones consist of 49% inorganic and 51% organic materials. The organic material is composed of a various carbohydrates and amino acids. </w:t>
      </w:r>
      <w:r w:rsidR="0011087B">
        <w:rPr>
          <w:rFonts w:ascii="Trebuchet MS" w:hAnsi="Trebuchet MS" w:cs="Times New Roman"/>
          <w:sz w:val="20"/>
          <w:szCs w:val="20"/>
        </w:rPr>
        <w:t>B</w:t>
      </w:r>
      <w:r>
        <w:rPr>
          <w:rFonts w:ascii="Trebuchet MS" w:hAnsi="Trebuchet MS" w:cs="Times New Roman"/>
          <w:sz w:val="20"/>
          <w:szCs w:val="20"/>
        </w:rPr>
        <w:t xml:space="preserve">acterial elements </w:t>
      </w:r>
      <w:r w:rsidR="0011087B">
        <w:rPr>
          <w:rFonts w:ascii="Trebuchet MS" w:hAnsi="Trebuchet MS" w:cs="Times New Roman"/>
          <w:sz w:val="20"/>
          <w:szCs w:val="20"/>
        </w:rPr>
        <w:t>have not been identified at the core of a sialolith</w:t>
      </w:r>
      <w:r>
        <w:rPr>
          <w:rFonts w:ascii="Trebuchet MS" w:hAnsi="Trebuchet MS" w:cs="Times New Roman"/>
          <w:sz w:val="20"/>
          <w:szCs w:val="20"/>
        </w:rPr>
        <w:t>.</w:t>
      </w:r>
      <w:r w:rsidR="007D014C" w:rsidRPr="007D014C">
        <w:rPr>
          <w:rFonts w:ascii="Trebuchet MS" w:hAnsi="Trebuchet MS" w:cs="Times New Roman"/>
          <w:sz w:val="20"/>
          <w:szCs w:val="20"/>
          <w:vertAlign w:val="superscript"/>
        </w:rPr>
        <w:t>2</w:t>
      </w:r>
    </w:p>
    <w:p w:rsidR="007D014C" w:rsidRDefault="00DE1D3F" w:rsidP="00DE1D3F">
      <w:pPr>
        <w:spacing w:after="0" w:line="480" w:lineRule="auto"/>
        <w:ind w:firstLine="720"/>
        <w:jc w:val="both"/>
        <w:rPr>
          <w:rFonts w:ascii="Trebuchet MS" w:hAnsi="Trebuchet MS" w:cs="Times New Roman"/>
          <w:sz w:val="20"/>
          <w:szCs w:val="20"/>
        </w:rPr>
      </w:pPr>
      <w:r>
        <w:rPr>
          <w:rFonts w:ascii="Trebuchet MS" w:hAnsi="Trebuchet MS" w:cs="Times New Roman"/>
          <w:sz w:val="20"/>
          <w:szCs w:val="20"/>
        </w:rPr>
        <w:t>The pathogenesis</w:t>
      </w:r>
      <w:r w:rsidR="00F42482">
        <w:rPr>
          <w:rFonts w:ascii="Trebuchet MS" w:hAnsi="Trebuchet MS" w:cs="Times New Roman"/>
          <w:sz w:val="20"/>
          <w:szCs w:val="20"/>
        </w:rPr>
        <w:t xml:space="preserve"> and etiology of salivary stones is poorly understood. Other than the composition of the saliva, some anatomical factors of submandibular glands and ducts are important in the pathogenesis of stone formation.  The submandibular salivary alkaline pH can also support the formation of salivary stones. Immunoglobulin G4 (IgG4)-related sialadenitis (IgG4-RS) is a component of IgG4-RD. One of its clinical characteristics is multiple enlargement of salivary glands.</w:t>
      </w:r>
      <w:r w:rsidR="00F42482" w:rsidRPr="00F42482">
        <w:rPr>
          <w:rFonts w:ascii="Trebuchet MS" w:hAnsi="Trebuchet MS" w:cs="Times New Roman"/>
          <w:sz w:val="20"/>
          <w:szCs w:val="20"/>
          <w:vertAlign w:val="superscript"/>
        </w:rPr>
        <w:t>2,4</w:t>
      </w:r>
      <w:r w:rsidR="00F42482">
        <w:rPr>
          <w:rFonts w:ascii="Trebuchet MS" w:hAnsi="Trebuchet MS" w:cs="Times New Roman"/>
          <w:sz w:val="20"/>
          <w:szCs w:val="20"/>
        </w:rPr>
        <w:t xml:space="preserve"> </w:t>
      </w:r>
    </w:p>
    <w:p w:rsidR="00DE1D3F" w:rsidRDefault="007D014C" w:rsidP="00DE1D3F">
      <w:pPr>
        <w:spacing w:after="0" w:line="480" w:lineRule="auto"/>
        <w:ind w:firstLine="720"/>
        <w:jc w:val="both"/>
        <w:rPr>
          <w:rFonts w:ascii="Trebuchet MS" w:hAnsi="Trebuchet MS" w:cs="Times New Roman"/>
          <w:sz w:val="20"/>
          <w:szCs w:val="20"/>
        </w:rPr>
      </w:pPr>
      <w:r>
        <w:rPr>
          <w:rFonts w:ascii="Trebuchet MS" w:hAnsi="Trebuchet MS" w:cs="Times New Roman"/>
          <w:sz w:val="20"/>
          <w:szCs w:val="20"/>
        </w:rPr>
        <w:t>The aim of this study was to report a rare case of multiple sialolithiasis in submandibular gland, which were treated surgically. In addition to performing a literature review and discuss the etiopathogenesis, diagnosis and treatment of this pathology.</w:t>
      </w:r>
    </w:p>
    <w:p w:rsidR="00BE0434" w:rsidRDefault="00BE0434" w:rsidP="00DE1D3F">
      <w:pPr>
        <w:spacing w:after="0" w:line="480" w:lineRule="auto"/>
        <w:ind w:firstLine="720"/>
        <w:jc w:val="both"/>
        <w:rPr>
          <w:rFonts w:ascii="Trebuchet MS" w:hAnsi="Trebuchet MS" w:cs="Times New Roman"/>
          <w:sz w:val="20"/>
          <w:szCs w:val="20"/>
        </w:rPr>
      </w:pPr>
    </w:p>
    <w:p w:rsidR="008B7730" w:rsidRDefault="008B7730" w:rsidP="008B7730">
      <w:pPr>
        <w:spacing w:after="0" w:line="480" w:lineRule="auto"/>
        <w:jc w:val="both"/>
        <w:rPr>
          <w:rFonts w:ascii="Trebuchet MS" w:hAnsi="Trebuchet MS" w:cs="Times New Roman"/>
          <w:b/>
          <w:sz w:val="20"/>
          <w:szCs w:val="20"/>
        </w:rPr>
      </w:pPr>
      <w:r>
        <w:rPr>
          <w:rFonts w:ascii="Trebuchet MS" w:hAnsi="Trebuchet MS" w:cs="Times New Roman"/>
          <w:b/>
          <w:sz w:val="20"/>
          <w:szCs w:val="20"/>
        </w:rPr>
        <w:t>Case Report</w:t>
      </w:r>
    </w:p>
    <w:p w:rsidR="00BF2F47" w:rsidRDefault="008B7730" w:rsidP="00BF2F47">
      <w:pPr>
        <w:spacing w:after="0" w:line="480" w:lineRule="auto"/>
        <w:ind w:firstLine="720"/>
        <w:jc w:val="both"/>
        <w:rPr>
          <w:rFonts w:ascii="Trebuchet MS" w:hAnsi="Trebuchet MS" w:cs="Times New Roman"/>
          <w:sz w:val="20"/>
          <w:szCs w:val="20"/>
        </w:rPr>
      </w:pPr>
      <w:r>
        <w:rPr>
          <w:rFonts w:ascii="Trebuchet MS" w:hAnsi="Trebuchet MS" w:cs="Times New Roman"/>
          <w:sz w:val="20"/>
          <w:szCs w:val="20"/>
        </w:rPr>
        <w:t>A 24 years old female patient came to Oral and Ma</w:t>
      </w:r>
      <w:r w:rsidR="00BF2F47">
        <w:rPr>
          <w:rFonts w:ascii="Trebuchet MS" w:hAnsi="Trebuchet MS" w:cs="Times New Roman"/>
          <w:sz w:val="20"/>
          <w:szCs w:val="20"/>
        </w:rPr>
        <w:t xml:space="preserve">xillofacial Surgery polyclinic </w:t>
      </w:r>
      <w:r>
        <w:rPr>
          <w:rFonts w:ascii="Trebuchet MS" w:hAnsi="Trebuchet MS" w:cs="Times New Roman"/>
          <w:sz w:val="20"/>
          <w:szCs w:val="20"/>
        </w:rPr>
        <w:t>with chief complaint of lump and pain on her right lower jaw</w:t>
      </w:r>
      <w:r w:rsidR="00495270">
        <w:rPr>
          <w:rFonts w:ascii="Trebuchet MS" w:hAnsi="Trebuchet MS" w:cs="Times New Roman"/>
          <w:sz w:val="20"/>
          <w:szCs w:val="20"/>
        </w:rPr>
        <w:t xml:space="preserve"> and asymmetrical face</w:t>
      </w:r>
      <w:r>
        <w:rPr>
          <w:rFonts w:ascii="Trebuchet MS" w:hAnsi="Trebuchet MS" w:cs="Times New Roman"/>
          <w:sz w:val="20"/>
          <w:szCs w:val="20"/>
        </w:rPr>
        <w:t>. The lum</w:t>
      </w:r>
      <w:r w:rsidR="00C64D46">
        <w:rPr>
          <w:rFonts w:ascii="Trebuchet MS" w:hAnsi="Trebuchet MS" w:cs="Times New Roman"/>
          <w:sz w:val="20"/>
          <w:szCs w:val="20"/>
        </w:rPr>
        <w:t>p</w:t>
      </w:r>
      <w:r>
        <w:rPr>
          <w:rFonts w:ascii="Trebuchet MS" w:hAnsi="Trebuchet MS" w:cs="Times New Roman"/>
          <w:sz w:val="20"/>
          <w:szCs w:val="20"/>
        </w:rPr>
        <w:t xml:space="preserve"> had occurred since three years before, first occurred with a size of table tennis ball, the size was often shrinking. The complaint was accompanied with pain during meal time or while chewing. History of other lump in other part of the body was denied. History of the same complaint in family was also denied. </w:t>
      </w:r>
    </w:p>
    <w:p w:rsidR="00BF2F47" w:rsidRDefault="00932212" w:rsidP="00932212">
      <w:pPr>
        <w:spacing w:after="0" w:line="480" w:lineRule="auto"/>
        <w:ind w:firstLine="720"/>
        <w:jc w:val="both"/>
        <w:rPr>
          <w:rFonts w:ascii="Trebuchet MS" w:hAnsi="Trebuchet MS" w:cs="Times New Roman"/>
          <w:sz w:val="20"/>
          <w:szCs w:val="20"/>
        </w:rPr>
      </w:pPr>
      <w:r w:rsidRPr="00BF2F47">
        <w:rPr>
          <w:rFonts w:ascii="Trebuchet MS" w:hAnsi="Trebuchet MS" w:cs="Times New Roman"/>
          <w:noProof/>
          <w:sz w:val="20"/>
          <w:szCs w:val="20"/>
        </w:rPr>
        <w:drawing>
          <wp:anchor distT="0" distB="0" distL="114300" distR="114300" simplePos="0" relativeHeight="251659264" behindDoc="0" locked="0" layoutInCell="1" allowOverlap="1" wp14:anchorId="7E6FCF44" wp14:editId="226F63C2">
            <wp:simplePos x="0" y="0"/>
            <wp:positionH relativeFrom="column">
              <wp:posOffset>2317750</wp:posOffset>
            </wp:positionH>
            <wp:positionV relativeFrom="paragraph">
              <wp:posOffset>1983740</wp:posOffset>
            </wp:positionV>
            <wp:extent cx="1138555" cy="1377950"/>
            <wp:effectExtent l="0" t="0" r="4445" b="0"/>
            <wp:wrapNone/>
            <wp:docPr id="73731" name="Picture 2" descr="G:\MCR 230217\20170222_14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1" name="Picture 2" descr="G:\MCR 230217\20170222_141607.jpg"/>
                    <pic:cNvPicPr>
                      <a:picLocks noChangeAspect="1" noChangeArrowheads="1"/>
                    </pic:cNvPicPr>
                  </pic:nvPicPr>
                  <pic:blipFill>
                    <a:blip r:embed="rId8" cstate="print">
                      <a:extLst>
                        <a:ext uri="{28A0092B-C50C-407E-A947-70E740481C1C}">
                          <a14:useLocalDpi xmlns:a14="http://schemas.microsoft.com/office/drawing/2010/main" val="0"/>
                        </a:ext>
                      </a:extLst>
                    </a:blip>
                    <a:srcRect l="13744" t="5647" r="13744" b="28564"/>
                    <a:stretch>
                      <a:fillRect/>
                    </a:stretch>
                  </pic:blipFill>
                  <pic:spPr bwMode="auto">
                    <a:xfrm>
                      <a:off x="0" y="0"/>
                      <a:ext cx="1138555" cy="1377950"/>
                    </a:xfrm>
                    <a:prstGeom prst="rect">
                      <a:avLst/>
                    </a:prstGeom>
                    <a:ln>
                      <a:noFill/>
                    </a:ln>
                    <a:effectLst>
                      <a:softEdge rad="112500"/>
                    </a:effectLst>
                    <a:extLst/>
                  </pic:spPr>
                </pic:pic>
              </a:graphicData>
            </a:graphic>
            <wp14:sizeRelH relativeFrom="margin">
              <wp14:pctWidth>0</wp14:pctWidth>
            </wp14:sizeRelH>
            <wp14:sizeRelV relativeFrom="margin">
              <wp14:pctHeight>0</wp14:pctHeight>
            </wp14:sizeRelV>
          </wp:anchor>
        </w:drawing>
      </w:r>
      <w:r w:rsidRPr="00BF2F47">
        <w:rPr>
          <w:rFonts w:ascii="Trebuchet MS" w:hAnsi="Trebuchet MS" w:cs="Times New Roman"/>
          <w:noProof/>
          <w:sz w:val="20"/>
          <w:szCs w:val="20"/>
        </w:rPr>
        <w:drawing>
          <wp:anchor distT="0" distB="0" distL="114300" distR="114300" simplePos="0" relativeHeight="251661312" behindDoc="0" locked="0" layoutInCell="1" allowOverlap="1" wp14:anchorId="515E2457" wp14:editId="23A50C80">
            <wp:simplePos x="0" y="0"/>
            <wp:positionH relativeFrom="column">
              <wp:posOffset>760730</wp:posOffset>
            </wp:positionH>
            <wp:positionV relativeFrom="paragraph">
              <wp:posOffset>1978660</wp:posOffset>
            </wp:positionV>
            <wp:extent cx="1377950" cy="1383030"/>
            <wp:effectExtent l="0" t="0" r="0" b="7620"/>
            <wp:wrapNone/>
            <wp:docPr id="73733" name="Picture 4" descr="G:\MCR 230217\20170222_14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3" name="Picture 4" descr="G:\MCR 230217\20170222_141623.jpg"/>
                    <pic:cNvPicPr>
                      <a:picLocks noChangeAspect="1" noChangeArrowheads="1"/>
                    </pic:cNvPicPr>
                  </pic:nvPicPr>
                  <pic:blipFill>
                    <a:blip r:embed="rId9" cstate="print">
                      <a:extLst>
                        <a:ext uri="{28A0092B-C50C-407E-A947-70E740481C1C}">
                          <a14:useLocalDpi xmlns:a14="http://schemas.microsoft.com/office/drawing/2010/main" val="0"/>
                        </a:ext>
                      </a:extLst>
                    </a:blip>
                    <a:srcRect t="7401" r="9650" b="24615"/>
                    <a:stretch>
                      <a:fillRect/>
                    </a:stretch>
                  </pic:blipFill>
                  <pic:spPr bwMode="auto">
                    <a:xfrm>
                      <a:off x="0" y="0"/>
                      <a:ext cx="1377950" cy="1383030"/>
                    </a:xfrm>
                    <a:prstGeom prst="rect">
                      <a:avLst/>
                    </a:prstGeom>
                    <a:ln>
                      <a:noFill/>
                    </a:ln>
                    <a:effectLst>
                      <a:softEdge rad="112500"/>
                    </a:effectLst>
                    <a:extLst/>
                  </pic:spPr>
                </pic:pic>
              </a:graphicData>
            </a:graphic>
            <wp14:sizeRelH relativeFrom="margin">
              <wp14:pctWidth>0</wp14:pctWidth>
            </wp14:sizeRelH>
            <wp14:sizeRelV relativeFrom="margin">
              <wp14:pctHeight>0</wp14:pctHeight>
            </wp14:sizeRelV>
          </wp:anchor>
        </w:drawing>
      </w:r>
      <w:r w:rsidRPr="00BF2F47">
        <w:rPr>
          <w:rFonts w:ascii="Trebuchet MS" w:hAnsi="Trebuchet MS" w:cs="Times New Roman"/>
          <w:noProof/>
          <w:sz w:val="20"/>
          <w:szCs w:val="20"/>
        </w:rPr>
        <w:drawing>
          <wp:anchor distT="0" distB="0" distL="114300" distR="114300" simplePos="0" relativeHeight="251660288" behindDoc="0" locked="0" layoutInCell="1" allowOverlap="1" wp14:anchorId="284D389E" wp14:editId="3581D892">
            <wp:simplePos x="0" y="0"/>
            <wp:positionH relativeFrom="column">
              <wp:posOffset>3665217</wp:posOffset>
            </wp:positionH>
            <wp:positionV relativeFrom="paragraph">
              <wp:posOffset>1964055</wp:posOffset>
            </wp:positionV>
            <wp:extent cx="1236980" cy="1397635"/>
            <wp:effectExtent l="0" t="0" r="1270" b="0"/>
            <wp:wrapNone/>
            <wp:docPr id="73732" name="Picture 3" descr="G:\MCR 230217\20170222_14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32" name="Picture 3" descr="G:\MCR 230217\20170222_141614.jpg"/>
                    <pic:cNvPicPr>
                      <a:picLocks noChangeAspect="1" noChangeArrowheads="1"/>
                    </pic:cNvPicPr>
                  </pic:nvPicPr>
                  <pic:blipFill>
                    <a:blip r:embed="rId10" cstate="print">
                      <a:extLst>
                        <a:ext uri="{28A0092B-C50C-407E-A947-70E740481C1C}">
                          <a14:useLocalDpi xmlns:a14="http://schemas.microsoft.com/office/drawing/2010/main" val="0"/>
                        </a:ext>
                      </a:extLst>
                    </a:blip>
                    <a:srcRect l="11989" t="6140" b="19298"/>
                    <a:stretch>
                      <a:fillRect/>
                    </a:stretch>
                  </pic:blipFill>
                  <pic:spPr bwMode="auto">
                    <a:xfrm>
                      <a:off x="0" y="0"/>
                      <a:ext cx="1236980" cy="1397635"/>
                    </a:xfrm>
                    <a:prstGeom prst="rect">
                      <a:avLst/>
                    </a:prstGeom>
                    <a:ln>
                      <a:noFill/>
                    </a:ln>
                    <a:effectLst>
                      <a:softEdge rad="112500"/>
                    </a:effectLst>
                    <a:extLst/>
                  </pic:spPr>
                </pic:pic>
              </a:graphicData>
            </a:graphic>
            <wp14:sizeRelH relativeFrom="margin">
              <wp14:pctWidth>0</wp14:pctWidth>
            </wp14:sizeRelH>
            <wp14:sizeRelV relativeFrom="margin">
              <wp14:pctHeight>0</wp14:pctHeight>
            </wp14:sizeRelV>
          </wp:anchor>
        </w:drawing>
      </w:r>
      <w:r w:rsidR="008B7730">
        <w:rPr>
          <w:rFonts w:ascii="Trebuchet MS" w:hAnsi="Trebuchet MS" w:cs="Times New Roman"/>
          <w:sz w:val="20"/>
          <w:szCs w:val="20"/>
        </w:rPr>
        <w:t>In general physical examination, there was no abnormalities found. Alocal extra oral examination present asymmetrical face (figure 1</w:t>
      </w:r>
      <w:r w:rsidR="00A80383">
        <w:rPr>
          <w:rFonts w:ascii="Trebuchet MS" w:hAnsi="Trebuchet MS" w:cs="Times New Roman"/>
          <w:sz w:val="20"/>
          <w:szCs w:val="20"/>
        </w:rPr>
        <w:t>B, 1C</w:t>
      </w:r>
      <w:r w:rsidR="008B7730">
        <w:rPr>
          <w:rFonts w:ascii="Trebuchet MS" w:hAnsi="Trebuchet MS" w:cs="Times New Roman"/>
          <w:sz w:val="20"/>
          <w:szCs w:val="20"/>
        </w:rPr>
        <w:t xml:space="preserve">) with lump in right lower jaw, the colour of the skin was similar surrounding </w:t>
      </w:r>
      <w:r w:rsidR="00A80383">
        <w:rPr>
          <w:rFonts w:ascii="Trebuchet MS" w:hAnsi="Trebuchet MS" w:cs="Times New Roman"/>
          <w:sz w:val="20"/>
          <w:szCs w:val="20"/>
        </w:rPr>
        <w:t>tissue (figure 1A). Through palpation on extra oral, the lump had a hard consistency, non febrile temperature, uneven surface, fixated, and no tenderness with 5x4x4 cm in size.</w:t>
      </w:r>
      <w:r w:rsidR="00BF2F47">
        <w:rPr>
          <w:rFonts w:ascii="Trebuchet MS" w:hAnsi="Trebuchet MS" w:cs="Times New Roman"/>
          <w:sz w:val="20"/>
          <w:szCs w:val="20"/>
        </w:rPr>
        <w:t xml:space="preserve"> No vis</w:t>
      </w:r>
      <w:r w:rsidR="00A12C5E">
        <w:rPr>
          <w:rFonts w:ascii="Trebuchet MS" w:hAnsi="Trebuchet MS" w:cs="Times New Roman"/>
          <w:sz w:val="20"/>
          <w:szCs w:val="20"/>
        </w:rPr>
        <w:t>i</w:t>
      </w:r>
      <w:r w:rsidR="00BF2F47">
        <w:rPr>
          <w:rFonts w:ascii="Trebuchet MS" w:hAnsi="Trebuchet MS" w:cs="Times New Roman"/>
          <w:sz w:val="20"/>
          <w:szCs w:val="20"/>
        </w:rPr>
        <w:t>ble abnormalities were found in buccal mucosa, gingiva, tongue and floor of the mouth (figure 2). There was no enlargement of lymph nodes found on submandibular glands and neck examination. In laboratory tests, hematology and clinical chemistry was within normal limits.</w:t>
      </w:r>
    </w:p>
    <w:p w:rsidR="00BF2F47" w:rsidRDefault="00BF2F47" w:rsidP="00BF2F47">
      <w:pPr>
        <w:spacing w:after="0" w:line="480" w:lineRule="auto"/>
        <w:ind w:firstLine="720"/>
        <w:jc w:val="both"/>
        <w:rPr>
          <w:rFonts w:ascii="Trebuchet MS" w:hAnsi="Trebuchet MS" w:cs="Times New Roman"/>
          <w:sz w:val="20"/>
          <w:szCs w:val="20"/>
        </w:rPr>
      </w:pPr>
    </w:p>
    <w:p w:rsidR="00BF2F47" w:rsidRPr="008B7730" w:rsidRDefault="00254CD4" w:rsidP="00BF2F47">
      <w:pPr>
        <w:spacing w:after="0" w:line="480" w:lineRule="auto"/>
        <w:ind w:firstLine="720"/>
        <w:jc w:val="both"/>
        <w:rPr>
          <w:rFonts w:ascii="Trebuchet MS" w:hAnsi="Trebuchet MS" w:cs="Times New Roman"/>
          <w:sz w:val="20"/>
          <w:szCs w:val="20"/>
        </w:rPr>
      </w:pPr>
      <w:r>
        <w:rPr>
          <w:rFonts w:ascii="Trebuchet MS" w:hAnsi="Trebuchet MS" w:cs="Times New Roman"/>
          <w:noProof/>
          <w:sz w:val="20"/>
          <w:szCs w:val="20"/>
        </w:rPr>
        <mc:AlternateContent>
          <mc:Choice Requires="wps">
            <w:drawing>
              <wp:anchor distT="0" distB="0" distL="114300" distR="114300" simplePos="0" relativeHeight="251680768" behindDoc="0" locked="0" layoutInCell="1" allowOverlap="1" wp14:anchorId="1099C462" wp14:editId="760F99EC">
                <wp:simplePos x="0" y="0"/>
                <wp:positionH relativeFrom="column">
                  <wp:posOffset>3828623</wp:posOffset>
                </wp:positionH>
                <wp:positionV relativeFrom="paragraph">
                  <wp:posOffset>169726</wp:posOffset>
                </wp:positionV>
                <wp:extent cx="121298" cy="114832"/>
                <wp:effectExtent l="0" t="0" r="0" b="0"/>
                <wp:wrapNone/>
                <wp:docPr id="8" name="Rectangle 8"/>
                <wp:cNvGraphicFramePr/>
                <a:graphic xmlns:a="http://schemas.openxmlformats.org/drawingml/2006/main">
                  <a:graphicData uri="http://schemas.microsoft.com/office/word/2010/wordprocessingShape">
                    <wps:wsp>
                      <wps:cNvSpPr/>
                      <wps:spPr>
                        <a:xfrm>
                          <a:off x="0" y="0"/>
                          <a:ext cx="121298" cy="114832"/>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853C0" id="Rectangle 8" o:spid="_x0000_s1026" style="position:absolute;margin-left:301.45pt;margin-top:13.35pt;width:9.55pt;height:9.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" fillcolor="black [3200]" stroked="f" strokeweight="1pt"/>
            </w:pict>
          </mc:Fallback>
        </mc:AlternateContent>
      </w:r>
      <w:r>
        <w:rPr>
          <w:rFonts w:ascii="Trebuchet MS" w:hAnsi="Trebuchet MS" w:cs="Times New Roman"/>
          <w:noProof/>
          <w:sz w:val="20"/>
          <w:szCs w:val="20"/>
        </w:rPr>
        <mc:AlternateContent>
          <mc:Choice Requires="wps">
            <w:drawing>
              <wp:anchor distT="0" distB="0" distL="114300" distR="114300" simplePos="0" relativeHeight="251678720" behindDoc="0" locked="0" layoutInCell="1" allowOverlap="1" wp14:anchorId="52F134C7" wp14:editId="0A82862C">
                <wp:simplePos x="0" y="0"/>
                <wp:positionH relativeFrom="column">
                  <wp:posOffset>1732086</wp:posOffset>
                </wp:positionH>
                <wp:positionV relativeFrom="paragraph">
                  <wp:posOffset>147955</wp:posOffset>
                </wp:positionV>
                <wp:extent cx="121298" cy="114832"/>
                <wp:effectExtent l="0" t="0" r="0" b="0"/>
                <wp:wrapNone/>
                <wp:docPr id="6" name="Rectangle 6"/>
                <wp:cNvGraphicFramePr/>
                <a:graphic xmlns:a="http://schemas.openxmlformats.org/drawingml/2006/main">
                  <a:graphicData uri="http://schemas.microsoft.com/office/word/2010/wordprocessingShape">
                    <wps:wsp>
                      <wps:cNvSpPr/>
                      <wps:spPr>
                        <a:xfrm>
                          <a:off x="0" y="0"/>
                          <a:ext cx="121298" cy="114832"/>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F7558" id="Rectangle 6" o:spid="_x0000_s1026" style="position:absolute;margin-left:136.4pt;margin-top:11.65pt;width:9.55pt;height:9.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" fillcolor="black [3200]" stroked="f" strokeweight="1pt"/>
            </w:pict>
          </mc:Fallback>
        </mc:AlternateContent>
      </w:r>
      <w:r>
        <w:rPr>
          <w:rFonts w:ascii="Trebuchet MS" w:hAnsi="Trebuchet MS" w:cs="Times New Roman"/>
          <w:noProof/>
          <w:sz w:val="20"/>
          <w:szCs w:val="20"/>
        </w:rPr>
        <mc:AlternateContent>
          <mc:Choice Requires="wps">
            <w:drawing>
              <wp:anchor distT="0" distB="0" distL="114300" distR="114300" simplePos="0" relativeHeight="251676672" behindDoc="0" locked="0" layoutInCell="1" allowOverlap="1" wp14:anchorId="182DFFCF" wp14:editId="37BB58E7">
                <wp:simplePos x="0" y="0"/>
                <wp:positionH relativeFrom="margin">
                  <wp:posOffset>2673985</wp:posOffset>
                </wp:positionH>
                <wp:positionV relativeFrom="paragraph">
                  <wp:posOffset>221809</wp:posOffset>
                </wp:positionV>
                <wp:extent cx="429208" cy="102637"/>
                <wp:effectExtent l="0" t="0" r="9525" b="0"/>
                <wp:wrapNone/>
                <wp:docPr id="5" name="Rectangle 5"/>
                <wp:cNvGraphicFramePr/>
                <a:graphic xmlns:a="http://schemas.openxmlformats.org/drawingml/2006/main">
                  <a:graphicData uri="http://schemas.microsoft.com/office/word/2010/wordprocessingShape">
                    <wps:wsp>
                      <wps:cNvSpPr/>
                      <wps:spPr>
                        <a:xfrm>
                          <a:off x="0" y="0"/>
                          <a:ext cx="429208" cy="102637"/>
                        </a:xfrm>
                        <a:prstGeom prst="rect">
                          <a:avLst/>
                        </a:prstGeom>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B44F8" id="Rectangle 5" o:spid="_x0000_s1026" style="position:absolute;margin-left:210.55pt;margin-top:17.45pt;width:33.8pt;height:8.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" fillcolor="black [3200]" stroked="f" strokeweight="1pt">
                <w10:wrap anchorx="margin"/>
              </v:rect>
            </w:pict>
          </mc:Fallback>
        </mc:AlternateContent>
      </w:r>
    </w:p>
    <w:p w:rsidR="00BF2F47" w:rsidRDefault="00BF2F47" w:rsidP="00BF2F47">
      <w:pPr>
        <w:spacing w:after="0" w:line="240" w:lineRule="auto"/>
        <w:jc w:val="both"/>
        <w:rPr>
          <w:rFonts w:ascii="Trebuchet MS" w:hAnsi="Trebuchet MS" w:cs="Times New Roman"/>
          <w:sz w:val="20"/>
          <w:szCs w:val="20"/>
        </w:rPr>
      </w:pPr>
    </w:p>
    <w:p w:rsidR="00932212" w:rsidRDefault="00932212" w:rsidP="00BF2F47">
      <w:pPr>
        <w:spacing w:after="0" w:line="240" w:lineRule="auto"/>
        <w:jc w:val="both"/>
        <w:rPr>
          <w:rFonts w:ascii="Trebuchet MS" w:hAnsi="Trebuchet MS" w:cs="Times New Roman"/>
          <w:sz w:val="20"/>
          <w:szCs w:val="20"/>
        </w:rPr>
      </w:pPr>
    </w:p>
    <w:p w:rsidR="00932212" w:rsidRDefault="00932212" w:rsidP="00BF2F47">
      <w:pPr>
        <w:spacing w:after="0" w:line="240" w:lineRule="auto"/>
        <w:jc w:val="both"/>
        <w:rPr>
          <w:rFonts w:ascii="Trebuchet MS" w:hAnsi="Trebuchet MS" w:cs="Times New Roman"/>
          <w:sz w:val="20"/>
          <w:szCs w:val="20"/>
        </w:rPr>
      </w:pPr>
    </w:p>
    <w:p w:rsidR="00932212" w:rsidRDefault="00932212" w:rsidP="00BF2F47">
      <w:pPr>
        <w:spacing w:after="0" w:line="240" w:lineRule="auto"/>
        <w:jc w:val="both"/>
        <w:rPr>
          <w:rFonts w:ascii="Trebuchet MS" w:hAnsi="Trebuchet MS" w:cs="Times New Roman"/>
          <w:b/>
          <w:sz w:val="20"/>
          <w:szCs w:val="20"/>
        </w:rPr>
      </w:pPr>
    </w:p>
    <w:p w:rsidR="00F45B94" w:rsidRDefault="00BF2F47" w:rsidP="00BF2F47">
      <w:pPr>
        <w:spacing w:after="0" w:line="240" w:lineRule="auto"/>
        <w:jc w:val="both"/>
        <w:rPr>
          <w:rFonts w:ascii="Trebuchet MS" w:hAnsi="Trebuchet MS" w:cs="Times New Roman"/>
          <w:b/>
          <w:sz w:val="20"/>
          <w:szCs w:val="20"/>
        </w:rPr>
      </w:pPr>
      <w:r>
        <w:rPr>
          <w:rFonts w:ascii="Trebuchet MS" w:hAnsi="Trebuchet MS" w:cs="Times New Roman"/>
          <w:b/>
          <w:sz w:val="20"/>
          <w:szCs w:val="20"/>
        </w:rPr>
        <w:t xml:space="preserve">            </w:t>
      </w:r>
    </w:p>
    <w:p w:rsidR="00BF2F47" w:rsidRDefault="00BF2F47" w:rsidP="00F45B94">
      <w:pPr>
        <w:spacing w:after="0" w:line="240" w:lineRule="auto"/>
        <w:ind w:firstLine="720"/>
        <w:jc w:val="both"/>
        <w:rPr>
          <w:rFonts w:ascii="Trebuchet MS" w:hAnsi="Trebuchet MS" w:cs="Times New Roman"/>
          <w:b/>
          <w:sz w:val="20"/>
          <w:szCs w:val="20"/>
        </w:rPr>
      </w:pPr>
      <w:r>
        <w:rPr>
          <w:rFonts w:ascii="Trebuchet MS" w:hAnsi="Trebuchet MS" w:cs="Times New Roman"/>
          <w:b/>
          <w:sz w:val="20"/>
          <w:szCs w:val="20"/>
        </w:rPr>
        <w:t xml:space="preserve">                         A                                  B                                 C</w:t>
      </w:r>
    </w:p>
    <w:p w:rsidR="00BF2F47" w:rsidRDefault="00BF2F47" w:rsidP="00BF2F47">
      <w:pPr>
        <w:spacing w:after="0" w:line="240" w:lineRule="auto"/>
        <w:jc w:val="center"/>
        <w:rPr>
          <w:rFonts w:ascii="Trebuchet MS" w:hAnsi="Trebuchet MS"/>
          <w:sz w:val="18"/>
          <w:szCs w:val="18"/>
        </w:rPr>
      </w:pPr>
      <w:r w:rsidRPr="00BF2F47">
        <w:rPr>
          <w:rFonts w:ascii="Trebuchet MS" w:hAnsi="Trebuchet MS"/>
          <w:b/>
          <w:sz w:val="18"/>
          <w:szCs w:val="18"/>
        </w:rPr>
        <w:t xml:space="preserve">Fig. 1. </w:t>
      </w:r>
      <w:r w:rsidRPr="00BF2F47">
        <w:rPr>
          <w:rFonts w:ascii="Trebuchet MS" w:hAnsi="Trebuchet MS"/>
          <w:sz w:val="18"/>
          <w:szCs w:val="18"/>
        </w:rPr>
        <w:t>Clinical photograph of the patient, A. Right side view, B. Frontal view, C. Left side view</w:t>
      </w:r>
    </w:p>
    <w:p w:rsidR="00BF2F47" w:rsidRPr="00BF2F47" w:rsidRDefault="00BF2F47" w:rsidP="00BF2F47">
      <w:pPr>
        <w:spacing w:after="0" w:line="240" w:lineRule="auto"/>
        <w:jc w:val="center"/>
        <w:rPr>
          <w:rFonts w:ascii="Trebuchet MS" w:hAnsi="Trebuchet MS"/>
          <w:sz w:val="18"/>
          <w:szCs w:val="18"/>
        </w:rPr>
      </w:pPr>
    </w:p>
    <w:p w:rsidR="00BF2F47" w:rsidRPr="00BF2F47" w:rsidRDefault="00BF2F47" w:rsidP="00BF2F47">
      <w:pPr>
        <w:spacing w:after="0" w:line="240" w:lineRule="auto"/>
        <w:jc w:val="both"/>
        <w:rPr>
          <w:rFonts w:ascii="Trebuchet MS" w:hAnsi="Trebuchet MS" w:cs="Times New Roman"/>
          <w:sz w:val="20"/>
          <w:szCs w:val="20"/>
        </w:rPr>
      </w:pPr>
      <w:r w:rsidRPr="00BF2F47">
        <w:rPr>
          <w:rFonts w:ascii="Trebuchet MS" w:hAnsi="Trebuchet MS"/>
          <w:noProof/>
          <w:sz w:val="18"/>
          <w:szCs w:val="18"/>
        </w:rPr>
        <w:drawing>
          <wp:anchor distT="0" distB="0" distL="114300" distR="114300" simplePos="0" relativeHeight="251664384" behindDoc="0" locked="0" layoutInCell="1" allowOverlap="1" wp14:anchorId="21C2C300" wp14:editId="47BF896D">
            <wp:simplePos x="0" y="0"/>
            <wp:positionH relativeFrom="column">
              <wp:posOffset>3217699</wp:posOffset>
            </wp:positionH>
            <wp:positionV relativeFrom="paragraph">
              <wp:posOffset>12769</wp:posOffset>
            </wp:positionV>
            <wp:extent cx="1314759" cy="1310946"/>
            <wp:effectExtent l="0" t="0" r="0" b="3810"/>
            <wp:wrapNone/>
            <wp:docPr id="74756" name="Picture 3" descr="G:\MCR 230217\20170222_141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6" name="Picture 3" descr="G:\MCR 230217\20170222_141723.jpg"/>
                    <pic:cNvPicPr>
                      <a:picLocks noChangeAspect="1" noChangeArrowheads="1"/>
                    </pic:cNvPicPr>
                  </pic:nvPicPr>
                  <pic:blipFill>
                    <a:blip r:embed="rId11" cstate="print">
                      <a:extLst>
                        <a:ext uri="{28A0092B-C50C-407E-A947-70E740481C1C}">
                          <a14:useLocalDpi xmlns:a14="http://schemas.microsoft.com/office/drawing/2010/main" val="0"/>
                        </a:ext>
                      </a:extLst>
                    </a:blip>
                    <a:srcRect l="18420" t="17252" r="19298"/>
                    <a:stretch>
                      <a:fillRect/>
                    </a:stretch>
                  </pic:blipFill>
                  <pic:spPr bwMode="auto">
                    <a:xfrm>
                      <a:off x="0" y="0"/>
                      <a:ext cx="1316557" cy="1312739"/>
                    </a:xfrm>
                    <a:prstGeom prst="rect">
                      <a:avLst/>
                    </a:prstGeom>
                    <a:ln>
                      <a:noFill/>
                    </a:ln>
                    <a:effectLst>
                      <a:softEdge rad="112500"/>
                    </a:effectLst>
                    <a:extLst/>
                  </pic:spPr>
                </pic:pic>
              </a:graphicData>
            </a:graphic>
            <wp14:sizeRelH relativeFrom="margin">
              <wp14:pctWidth>0</wp14:pctWidth>
            </wp14:sizeRelH>
            <wp14:sizeRelV relativeFrom="margin">
              <wp14:pctHeight>0</wp14:pctHeight>
            </wp14:sizeRelV>
          </wp:anchor>
        </w:drawing>
      </w:r>
      <w:r w:rsidRPr="00BF2F47">
        <w:rPr>
          <w:rFonts w:ascii="Trebuchet MS" w:hAnsi="Trebuchet MS"/>
          <w:noProof/>
          <w:sz w:val="18"/>
          <w:szCs w:val="18"/>
        </w:rPr>
        <w:drawing>
          <wp:anchor distT="0" distB="0" distL="114300" distR="114300" simplePos="0" relativeHeight="251663360" behindDoc="0" locked="0" layoutInCell="1" allowOverlap="1" wp14:anchorId="1A07FDCE" wp14:editId="3FA08E32">
            <wp:simplePos x="0" y="0"/>
            <wp:positionH relativeFrom="column">
              <wp:posOffset>1596494</wp:posOffset>
            </wp:positionH>
            <wp:positionV relativeFrom="paragraph">
              <wp:posOffset>17711</wp:posOffset>
            </wp:positionV>
            <wp:extent cx="1379648" cy="1278569"/>
            <wp:effectExtent l="0" t="0" r="0" b="0"/>
            <wp:wrapNone/>
            <wp:docPr id="74755" name="Picture 2" descr="G:\MCR 230217\20170222_141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55" name="Picture 2" descr="G:\MCR 230217\20170222_141716.jpg"/>
                    <pic:cNvPicPr>
                      <a:picLocks noChangeAspect="1" noChangeArrowheads="1"/>
                    </pic:cNvPicPr>
                  </pic:nvPicPr>
                  <pic:blipFill>
                    <a:blip r:embed="rId12" cstate="print">
                      <a:extLst>
                        <a:ext uri="{28A0092B-C50C-407E-A947-70E740481C1C}">
                          <a14:useLocalDpi xmlns:a14="http://schemas.microsoft.com/office/drawing/2010/main" val="0"/>
                        </a:ext>
                      </a:extLst>
                    </a:blip>
                    <a:srcRect l="20833" t="20103" r="19518" b="6213"/>
                    <a:stretch>
                      <a:fillRect/>
                    </a:stretch>
                  </pic:blipFill>
                  <pic:spPr bwMode="auto">
                    <a:xfrm>
                      <a:off x="0" y="0"/>
                      <a:ext cx="1380076" cy="1278966"/>
                    </a:xfrm>
                    <a:prstGeom prst="rect">
                      <a:avLst/>
                    </a:prstGeom>
                    <a:ln>
                      <a:noFill/>
                    </a:ln>
                    <a:effectLst>
                      <a:softEdge rad="112500"/>
                    </a:effectLst>
                    <a:extLst/>
                  </pic:spPr>
                </pic:pic>
              </a:graphicData>
            </a:graphic>
            <wp14:sizeRelH relativeFrom="margin">
              <wp14:pctWidth>0</wp14:pctWidth>
            </wp14:sizeRelH>
            <wp14:sizeRelV relativeFrom="margin">
              <wp14:pctHeight>0</wp14:pctHeight>
            </wp14:sizeRelV>
          </wp:anchor>
        </w:drawing>
      </w:r>
    </w:p>
    <w:p w:rsidR="00BF2F47" w:rsidRDefault="00BF2F47" w:rsidP="007D014C">
      <w:pPr>
        <w:spacing w:after="0" w:line="480" w:lineRule="auto"/>
        <w:jc w:val="both"/>
        <w:rPr>
          <w:rFonts w:ascii="Trebuchet MS" w:hAnsi="Trebuchet MS" w:cs="Times New Roman"/>
          <w:b/>
          <w:sz w:val="20"/>
          <w:szCs w:val="20"/>
        </w:rPr>
      </w:pPr>
    </w:p>
    <w:p w:rsidR="00BF2F47" w:rsidRDefault="00BF2F47" w:rsidP="007D014C">
      <w:pPr>
        <w:spacing w:after="0" w:line="480" w:lineRule="auto"/>
        <w:jc w:val="both"/>
        <w:rPr>
          <w:rFonts w:ascii="Trebuchet MS" w:hAnsi="Trebuchet MS" w:cs="Times New Roman"/>
          <w:b/>
          <w:sz w:val="20"/>
          <w:szCs w:val="20"/>
        </w:rPr>
      </w:pPr>
    </w:p>
    <w:p w:rsidR="00BF2F47" w:rsidRDefault="00BF2F47" w:rsidP="007D014C">
      <w:pPr>
        <w:spacing w:after="0" w:line="480" w:lineRule="auto"/>
        <w:jc w:val="both"/>
        <w:rPr>
          <w:rFonts w:ascii="Trebuchet MS" w:hAnsi="Trebuchet MS" w:cs="Times New Roman"/>
          <w:b/>
          <w:sz w:val="20"/>
          <w:szCs w:val="20"/>
        </w:rPr>
      </w:pPr>
    </w:p>
    <w:p w:rsidR="00BF2F47" w:rsidRDefault="00BF2F47" w:rsidP="00BF2F47">
      <w:pPr>
        <w:spacing w:after="0" w:line="240" w:lineRule="auto"/>
        <w:jc w:val="both"/>
        <w:rPr>
          <w:rFonts w:ascii="Trebuchet MS" w:hAnsi="Trebuchet MS" w:cs="Times New Roman"/>
          <w:b/>
          <w:sz w:val="20"/>
          <w:szCs w:val="20"/>
        </w:rPr>
      </w:pPr>
    </w:p>
    <w:p w:rsidR="00BF2F47" w:rsidRDefault="00BF2F47" w:rsidP="00BF2F47">
      <w:pPr>
        <w:spacing w:after="0" w:line="240" w:lineRule="auto"/>
        <w:jc w:val="center"/>
        <w:rPr>
          <w:rFonts w:ascii="Trebuchet MS" w:hAnsi="Trebuchet MS"/>
          <w:b/>
          <w:sz w:val="18"/>
          <w:szCs w:val="18"/>
        </w:rPr>
      </w:pPr>
    </w:p>
    <w:p w:rsidR="00BF2F47" w:rsidRDefault="00BF2F47" w:rsidP="00BF2F47">
      <w:pPr>
        <w:spacing w:after="0" w:line="240" w:lineRule="auto"/>
        <w:jc w:val="center"/>
        <w:rPr>
          <w:rFonts w:ascii="Trebuchet MS" w:hAnsi="Trebuchet MS"/>
          <w:sz w:val="18"/>
          <w:szCs w:val="18"/>
        </w:rPr>
      </w:pPr>
      <w:r>
        <w:rPr>
          <w:rFonts w:ascii="Trebuchet MS" w:hAnsi="Trebuchet MS"/>
          <w:b/>
          <w:sz w:val="18"/>
          <w:szCs w:val="18"/>
        </w:rPr>
        <w:t>Fig. 2</w:t>
      </w:r>
      <w:r w:rsidRPr="00BF2F47">
        <w:rPr>
          <w:rFonts w:ascii="Trebuchet MS" w:hAnsi="Trebuchet MS"/>
          <w:b/>
          <w:sz w:val="18"/>
          <w:szCs w:val="18"/>
        </w:rPr>
        <w:t xml:space="preserve">. </w:t>
      </w:r>
      <w:r>
        <w:rPr>
          <w:rFonts w:ascii="Trebuchet MS" w:hAnsi="Trebuchet MS"/>
          <w:sz w:val="18"/>
          <w:szCs w:val="18"/>
        </w:rPr>
        <w:t>Intra Oral photograph</w:t>
      </w:r>
    </w:p>
    <w:p w:rsidR="00BF2F47" w:rsidRDefault="00BF2F47" w:rsidP="00BF2F47">
      <w:pPr>
        <w:spacing w:after="0" w:line="240" w:lineRule="auto"/>
        <w:jc w:val="center"/>
        <w:rPr>
          <w:rFonts w:ascii="Trebuchet MS" w:hAnsi="Trebuchet MS"/>
          <w:sz w:val="18"/>
          <w:szCs w:val="18"/>
        </w:rPr>
      </w:pPr>
    </w:p>
    <w:p w:rsidR="00BF2F47" w:rsidRDefault="00BF2F47" w:rsidP="00F8134F">
      <w:pPr>
        <w:spacing w:after="0" w:line="480" w:lineRule="auto"/>
        <w:ind w:firstLine="720"/>
        <w:jc w:val="both"/>
        <w:rPr>
          <w:rFonts w:ascii="Trebuchet MS" w:hAnsi="Trebuchet MS" w:cs="Times New Roman"/>
          <w:sz w:val="20"/>
          <w:szCs w:val="20"/>
        </w:rPr>
      </w:pPr>
      <w:r>
        <w:rPr>
          <w:rFonts w:ascii="Trebuchet MS" w:hAnsi="Trebuchet MS" w:cs="Times New Roman"/>
          <w:sz w:val="20"/>
          <w:szCs w:val="20"/>
        </w:rPr>
        <w:t>In radiology, the panoramic view showed a radiopaque mass with firm boundaries in the right submandibular region (figure 3A). On ultrasonography (USG) of the neck, there was hypoechoic and inhomogeneous mass accompanied by multiple calcifications in the medial region of the parotid gland (figure 3B).</w:t>
      </w:r>
    </w:p>
    <w:p w:rsidR="00BF2F47" w:rsidRPr="00BF2F47" w:rsidRDefault="00BF2F47" w:rsidP="00BF2F47">
      <w:pPr>
        <w:spacing w:after="0" w:line="480" w:lineRule="auto"/>
        <w:jc w:val="both"/>
        <w:rPr>
          <w:rFonts w:ascii="Trebuchet MS" w:hAnsi="Trebuchet MS" w:cs="Times New Roman"/>
          <w:sz w:val="20"/>
          <w:szCs w:val="20"/>
        </w:rPr>
      </w:pPr>
      <w:r w:rsidRPr="00BF2F47">
        <w:rPr>
          <w:rFonts w:ascii="Trebuchet MS" w:hAnsi="Trebuchet MS" w:cs="Times New Roman"/>
          <w:noProof/>
          <w:sz w:val="20"/>
          <w:szCs w:val="20"/>
        </w:rPr>
        <w:drawing>
          <wp:anchor distT="0" distB="0" distL="114300" distR="114300" simplePos="0" relativeHeight="251666432" behindDoc="0" locked="0" layoutInCell="1" allowOverlap="1" wp14:anchorId="076A824F" wp14:editId="1C15C0E1">
            <wp:simplePos x="0" y="0"/>
            <wp:positionH relativeFrom="column">
              <wp:posOffset>2613382</wp:posOffset>
            </wp:positionH>
            <wp:positionV relativeFrom="paragraph">
              <wp:posOffset>77247</wp:posOffset>
            </wp:positionV>
            <wp:extent cx="1518146" cy="1170700"/>
            <wp:effectExtent l="38100" t="38100" r="101600" b="86995"/>
            <wp:wrapNone/>
            <wp:docPr id="77827" name="Picture 2" descr="G:\MCR 230217\20170222_14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 name="Picture 2" descr="G:\MCR 230217\20170222_141254.jpg"/>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25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10458" t="6140" r="11376" b="48648"/>
                    <a:stretch/>
                  </pic:blipFill>
                  <pic:spPr bwMode="auto">
                    <a:xfrm>
                      <a:off x="0" y="0"/>
                      <a:ext cx="1518146" cy="11707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2F47">
        <w:rPr>
          <w:rFonts w:ascii="Trebuchet MS" w:hAnsi="Trebuchet MS" w:cs="Times New Roman"/>
          <w:b/>
          <w:noProof/>
          <w:sz w:val="20"/>
          <w:szCs w:val="20"/>
        </w:rPr>
        <w:drawing>
          <wp:anchor distT="0" distB="0" distL="114300" distR="114300" simplePos="0" relativeHeight="251667456" behindDoc="0" locked="0" layoutInCell="1" allowOverlap="1" wp14:anchorId="099549B7" wp14:editId="3F399A04">
            <wp:simplePos x="0" y="0"/>
            <wp:positionH relativeFrom="column">
              <wp:posOffset>4170852</wp:posOffset>
            </wp:positionH>
            <wp:positionV relativeFrom="paragraph">
              <wp:posOffset>78740</wp:posOffset>
            </wp:positionV>
            <wp:extent cx="1521564" cy="1155016"/>
            <wp:effectExtent l="38100" t="38100" r="97790" b="102870"/>
            <wp:wrapNone/>
            <wp:docPr id="1" name="Picture 2" descr="G:\MCR 230217\20170222_14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 name="Picture 2" descr="G:\MCR 230217\20170222_141254.jp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25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13034" t="52753" r="13401" b="5362"/>
                    <a:stretch/>
                  </pic:blipFill>
                  <pic:spPr bwMode="auto">
                    <a:xfrm>
                      <a:off x="0" y="0"/>
                      <a:ext cx="1521564" cy="1155016"/>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2F47">
        <w:rPr>
          <w:rFonts w:ascii="Trebuchet MS" w:hAnsi="Trebuchet MS" w:cs="Times New Roman"/>
          <w:noProof/>
          <w:sz w:val="20"/>
          <w:szCs w:val="20"/>
        </w:rPr>
        <w:drawing>
          <wp:anchor distT="0" distB="0" distL="114300" distR="114300" simplePos="0" relativeHeight="251665408" behindDoc="0" locked="0" layoutInCell="1" allowOverlap="1" wp14:anchorId="0ABA61A5" wp14:editId="2B40BF79">
            <wp:simplePos x="0" y="0"/>
            <wp:positionH relativeFrom="column">
              <wp:posOffset>53975</wp:posOffset>
            </wp:positionH>
            <wp:positionV relativeFrom="paragraph">
              <wp:posOffset>-1905</wp:posOffset>
            </wp:positionV>
            <wp:extent cx="2589530" cy="1363345"/>
            <wp:effectExtent l="38100" t="38100" r="58420" b="65405"/>
            <wp:wrapNone/>
            <wp:docPr id="76803" name="Picture 2" descr="F:\MCR 230217\20170222_14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03" name="Picture 2" descr="F:\MCR 230217\20170222_141233.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3016" t="18356" r="4991" b="17039"/>
                    <a:stretch/>
                  </pic:blipFill>
                  <pic:spPr bwMode="auto">
                    <a:xfrm>
                      <a:off x="0" y="0"/>
                      <a:ext cx="2589530" cy="1363345"/>
                    </a:xfrm>
                    <a:prstGeom prst="rect">
                      <a:avLst/>
                    </a:prstGeom>
                    <a:ln>
                      <a:noFill/>
                    </a:ln>
                    <a:effectLst>
                      <a:outerShdw blurRad="50800" dist="38100" dir="2700000" algn="tl" rotWithShape="0">
                        <a:prstClr val="black">
                          <a:alpha val="40000"/>
                        </a:prstClr>
                      </a:outerShdw>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2F47" w:rsidRDefault="00BF2F47" w:rsidP="007D014C">
      <w:pPr>
        <w:spacing w:after="0" w:line="480" w:lineRule="auto"/>
        <w:jc w:val="both"/>
        <w:rPr>
          <w:rFonts w:ascii="Trebuchet MS" w:hAnsi="Trebuchet MS" w:cs="Times New Roman"/>
          <w:b/>
          <w:sz w:val="20"/>
          <w:szCs w:val="20"/>
        </w:rPr>
      </w:pPr>
    </w:p>
    <w:p w:rsidR="00BF2F47" w:rsidRDefault="00BF2F47" w:rsidP="007D014C">
      <w:pPr>
        <w:spacing w:after="0" w:line="480" w:lineRule="auto"/>
        <w:jc w:val="both"/>
        <w:rPr>
          <w:rFonts w:ascii="Trebuchet MS" w:hAnsi="Trebuchet MS" w:cs="Times New Roman"/>
          <w:b/>
          <w:sz w:val="20"/>
          <w:szCs w:val="20"/>
        </w:rPr>
      </w:pPr>
    </w:p>
    <w:p w:rsidR="00BF2F47" w:rsidRDefault="00BF2F47" w:rsidP="007D014C">
      <w:pPr>
        <w:spacing w:after="0" w:line="480" w:lineRule="auto"/>
        <w:jc w:val="both"/>
        <w:rPr>
          <w:rFonts w:ascii="Trebuchet MS" w:hAnsi="Trebuchet MS" w:cs="Times New Roman"/>
          <w:b/>
          <w:sz w:val="20"/>
          <w:szCs w:val="20"/>
        </w:rPr>
      </w:pPr>
    </w:p>
    <w:p w:rsidR="00BF2F47" w:rsidRDefault="00BF2F47" w:rsidP="00BF2F47">
      <w:pPr>
        <w:spacing w:after="0" w:line="240" w:lineRule="auto"/>
        <w:jc w:val="both"/>
        <w:rPr>
          <w:rFonts w:ascii="Trebuchet MS" w:hAnsi="Trebuchet MS" w:cs="Times New Roman"/>
          <w:b/>
          <w:sz w:val="20"/>
          <w:szCs w:val="20"/>
        </w:rPr>
      </w:pPr>
    </w:p>
    <w:p w:rsidR="00BF2F47" w:rsidRDefault="00BF2F47" w:rsidP="00BF2F47">
      <w:pPr>
        <w:spacing w:after="0" w:line="240" w:lineRule="auto"/>
        <w:jc w:val="both"/>
        <w:rPr>
          <w:rFonts w:ascii="Trebuchet MS" w:hAnsi="Trebuchet MS" w:cs="Times New Roman"/>
          <w:b/>
          <w:sz w:val="20"/>
          <w:szCs w:val="20"/>
        </w:rPr>
      </w:pPr>
      <w:r>
        <w:rPr>
          <w:rFonts w:ascii="Trebuchet MS" w:hAnsi="Trebuchet MS" w:cs="Times New Roman"/>
          <w:b/>
          <w:sz w:val="20"/>
          <w:szCs w:val="20"/>
        </w:rPr>
        <w:t xml:space="preserve">                                   A                                                                       B         </w:t>
      </w:r>
    </w:p>
    <w:p w:rsidR="00BF2F47" w:rsidRDefault="00BF2F47" w:rsidP="00BF2F47">
      <w:pPr>
        <w:spacing w:after="0" w:line="480" w:lineRule="auto"/>
        <w:jc w:val="center"/>
        <w:rPr>
          <w:rFonts w:ascii="Trebuchet MS" w:hAnsi="Trebuchet MS"/>
          <w:sz w:val="18"/>
          <w:szCs w:val="18"/>
        </w:rPr>
      </w:pPr>
      <w:r>
        <w:rPr>
          <w:rFonts w:ascii="Trebuchet MS" w:hAnsi="Trebuchet MS"/>
          <w:b/>
          <w:sz w:val="18"/>
          <w:szCs w:val="18"/>
        </w:rPr>
        <w:t>Fig. 3</w:t>
      </w:r>
      <w:r w:rsidRPr="00BF2F47">
        <w:rPr>
          <w:rFonts w:ascii="Trebuchet MS" w:hAnsi="Trebuchet MS"/>
          <w:b/>
          <w:sz w:val="18"/>
          <w:szCs w:val="18"/>
        </w:rPr>
        <w:t xml:space="preserve">. </w:t>
      </w:r>
      <w:r>
        <w:rPr>
          <w:rFonts w:ascii="Trebuchet MS" w:hAnsi="Trebuchet MS"/>
          <w:sz w:val="18"/>
          <w:szCs w:val="18"/>
        </w:rPr>
        <w:t>A. Panoramic radiograph</w:t>
      </w:r>
      <w:r w:rsidRPr="00BF2F47">
        <w:rPr>
          <w:rFonts w:ascii="Trebuchet MS" w:hAnsi="Trebuchet MS"/>
          <w:sz w:val="18"/>
          <w:szCs w:val="18"/>
        </w:rPr>
        <w:t xml:space="preserve">, B. </w:t>
      </w:r>
      <w:r>
        <w:rPr>
          <w:rFonts w:ascii="Trebuchet MS" w:hAnsi="Trebuchet MS"/>
          <w:sz w:val="18"/>
          <w:szCs w:val="18"/>
        </w:rPr>
        <w:t>Ultrasonography</w:t>
      </w:r>
    </w:p>
    <w:p w:rsidR="00F04226" w:rsidRDefault="00C73725" w:rsidP="00C73725">
      <w:pPr>
        <w:spacing w:after="0" w:line="480" w:lineRule="auto"/>
        <w:ind w:firstLine="720"/>
        <w:jc w:val="both"/>
        <w:rPr>
          <w:rFonts w:ascii="Trebuchet MS" w:hAnsi="Trebuchet MS" w:cs="Times New Roman"/>
          <w:sz w:val="20"/>
          <w:szCs w:val="20"/>
        </w:rPr>
      </w:pPr>
      <w:r w:rsidRPr="00C73725">
        <w:rPr>
          <w:rFonts w:ascii="Trebuchet MS" w:hAnsi="Trebuchet MS" w:cs="Times New Roman"/>
          <w:noProof/>
          <w:sz w:val="20"/>
          <w:szCs w:val="20"/>
        </w:rPr>
        <w:drawing>
          <wp:anchor distT="0" distB="0" distL="114300" distR="114300" simplePos="0" relativeHeight="251671552" behindDoc="0" locked="0" layoutInCell="1" allowOverlap="1" wp14:anchorId="7A294129" wp14:editId="1BB5C998">
            <wp:simplePos x="0" y="0"/>
            <wp:positionH relativeFrom="column">
              <wp:posOffset>2995930</wp:posOffset>
            </wp:positionH>
            <wp:positionV relativeFrom="paragraph">
              <wp:posOffset>1422400</wp:posOffset>
            </wp:positionV>
            <wp:extent cx="1312545" cy="1143000"/>
            <wp:effectExtent l="38100" t="38100" r="97155" b="95250"/>
            <wp:wrapNone/>
            <wp:docPr id="78854" name="Picture 4" descr="C:\Users\drg. Wildan\Documents\Bluetooth Folder\IMG-20170223-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4" name="Picture 4" descr="C:\Users\drg. Wildan\Documents\Bluetooth Folder\IMG-20170223-WA0063.jpg"/>
                    <pic:cNvPicPr>
                      <a:picLocks noChangeAspect="1" noChangeArrowheads="1"/>
                    </pic:cNvPicPr>
                  </pic:nvPicPr>
                  <pic:blipFill>
                    <a:blip r:embed="rId19" cstate="print">
                      <a:extLst>
                        <a:ext uri="{28A0092B-C50C-407E-A947-70E740481C1C}">
                          <a14:useLocalDpi xmlns:a14="http://schemas.microsoft.com/office/drawing/2010/main" val="0"/>
                        </a:ext>
                      </a:extLst>
                    </a:blip>
                    <a:srcRect l="23152" t="3735" r="17200" b="27025"/>
                    <a:stretch>
                      <a:fillRect/>
                    </a:stretch>
                  </pic:blipFill>
                  <pic:spPr bwMode="auto">
                    <a:xfrm>
                      <a:off x="0" y="0"/>
                      <a:ext cx="1312545" cy="1143000"/>
                    </a:xfrm>
                    <a:prstGeom prst="rect">
                      <a:avLst/>
                    </a:prstGeom>
                    <a:noFill/>
                    <a:ln>
                      <a:noFill/>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r w:rsidRPr="00C73725">
        <w:rPr>
          <w:rFonts w:ascii="Trebuchet MS" w:hAnsi="Trebuchet MS" w:cs="Times New Roman"/>
          <w:noProof/>
          <w:sz w:val="20"/>
          <w:szCs w:val="20"/>
        </w:rPr>
        <w:drawing>
          <wp:anchor distT="0" distB="0" distL="114300" distR="114300" simplePos="0" relativeHeight="251669504" behindDoc="0" locked="0" layoutInCell="1" allowOverlap="1" wp14:anchorId="28037DE6" wp14:editId="2901A471">
            <wp:simplePos x="0" y="0"/>
            <wp:positionH relativeFrom="column">
              <wp:posOffset>4407535</wp:posOffset>
            </wp:positionH>
            <wp:positionV relativeFrom="paragraph">
              <wp:posOffset>1414145</wp:posOffset>
            </wp:positionV>
            <wp:extent cx="1122045" cy="1151255"/>
            <wp:effectExtent l="38100" t="38100" r="97155" b="86995"/>
            <wp:wrapNone/>
            <wp:docPr id="78852" name="Picture 2" descr="C:\Users\drg. Wildan\Documents\Bluetooth Folder\IMG-20170223-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2" name="Picture 2" descr="C:\Users\drg. Wildan\Documents\Bluetooth Folder\IMG-20170223-WA0060.jpg"/>
                    <pic:cNvPicPr>
                      <a:picLocks noChangeAspect="1" noChangeArrowheads="1"/>
                    </pic:cNvPicPr>
                  </pic:nvPicPr>
                  <pic:blipFill>
                    <a:blip r:embed="rId20" cstate="print">
                      <a:extLst>
                        <a:ext uri="{28A0092B-C50C-407E-A947-70E740481C1C}">
                          <a14:useLocalDpi xmlns:a14="http://schemas.microsoft.com/office/drawing/2010/main" val="0"/>
                        </a:ext>
                      </a:extLst>
                    </a:blip>
                    <a:srcRect l="24556" t="8882" r="21410" b="17200"/>
                    <a:stretch>
                      <a:fillRect/>
                    </a:stretch>
                  </pic:blipFill>
                  <pic:spPr bwMode="auto">
                    <a:xfrm>
                      <a:off x="0" y="0"/>
                      <a:ext cx="1122045" cy="1151255"/>
                    </a:xfrm>
                    <a:prstGeom prst="rect">
                      <a:avLst/>
                    </a:prstGeom>
                    <a:noFill/>
                    <a:ln>
                      <a:noFill/>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r w:rsidRPr="00C73725">
        <w:rPr>
          <w:rFonts w:ascii="Trebuchet MS" w:hAnsi="Trebuchet MS" w:cs="Times New Roman"/>
          <w:noProof/>
          <w:sz w:val="20"/>
          <w:szCs w:val="20"/>
        </w:rPr>
        <w:drawing>
          <wp:anchor distT="0" distB="0" distL="114300" distR="114300" simplePos="0" relativeHeight="251670528" behindDoc="0" locked="0" layoutInCell="1" allowOverlap="1" wp14:anchorId="3F0E4C42" wp14:editId="22904536">
            <wp:simplePos x="0" y="0"/>
            <wp:positionH relativeFrom="column">
              <wp:posOffset>1783262</wp:posOffset>
            </wp:positionH>
            <wp:positionV relativeFrom="paragraph">
              <wp:posOffset>1444587</wp:posOffset>
            </wp:positionV>
            <wp:extent cx="1098885" cy="1127578"/>
            <wp:effectExtent l="38100" t="38100" r="101600" b="92075"/>
            <wp:wrapNone/>
            <wp:docPr id="78853" name="Picture 3" descr="C:\Users\drg. Wildan\Documents\Bluetooth Folder\IMG-20170223-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3" name="Picture 3" descr="C:\Users\drg. Wildan\Documents\Bluetooth Folder\IMG-20170223-WA0067.jpg"/>
                    <pic:cNvPicPr>
                      <a:picLocks noChangeAspect="1" noChangeArrowheads="1"/>
                    </pic:cNvPicPr>
                  </pic:nvPicPr>
                  <pic:blipFill>
                    <a:blip r:embed="rId21" cstate="print">
                      <a:extLst>
                        <a:ext uri="{28A0092B-C50C-407E-A947-70E740481C1C}">
                          <a14:useLocalDpi xmlns:a14="http://schemas.microsoft.com/office/drawing/2010/main" val="0"/>
                        </a:ext>
                      </a:extLst>
                    </a:blip>
                    <a:srcRect l="21046" t="12157" r="23865" b="12521"/>
                    <a:stretch>
                      <a:fillRect/>
                    </a:stretch>
                  </pic:blipFill>
                  <pic:spPr bwMode="auto">
                    <a:xfrm>
                      <a:off x="0" y="0"/>
                      <a:ext cx="1098885" cy="1127578"/>
                    </a:xfrm>
                    <a:prstGeom prst="rect">
                      <a:avLst/>
                    </a:prstGeom>
                    <a:noFill/>
                    <a:ln>
                      <a:noFill/>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r w:rsidR="00FB314B">
        <w:rPr>
          <w:rFonts w:ascii="Trebuchet MS" w:hAnsi="Trebuchet MS" w:cs="Times New Roman"/>
          <w:sz w:val="20"/>
          <w:szCs w:val="20"/>
        </w:rPr>
        <w:t>Surgi</w:t>
      </w:r>
      <w:r w:rsidR="00F04226">
        <w:rPr>
          <w:rFonts w:ascii="Trebuchet MS" w:hAnsi="Trebuchet MS" w:cs="Times New Roman"/>
          <w:sz w:val="20"/>
          <w:szCs w:val="20"/>
        </w:rPr>
        <w:t>cal treatment was conducted to remove the right submandibular gland</w:t>
      </w:r>
      <w:r w:rsidR="002442D8">
        <w:rPr>
          <w:rFonts w:ascii="Trebuchet MS" w:hAnsi="Trebuchet MS" w:cs="Times New Roman"/>
          <w:sz w:val="20"/>
          <w:szCs w:val="20"/>
        </w:rPr>
        <w:t xml:space="preserve"> into extraoral approach with general anesthesia</w:t>
      </w:r>
      <w:r w:rsidR="00F04226">
        <w:rPr>
          <w:rFonts w:ascii="Trebuchet MS" w:hAnsi="Trebuchet MS" w:cs="Times New Roman"/>
          <w:sz w:val="20"/>
          <w:szCs w:val="20"/>
        </w:rPr>
        <w:t>. Incision was done on the right submandibular region and continued with removal of right submandibular gland and retrieval of 9 sialolith stones. The flap closure was done by suturing the muscle and the skin layer by layer and then followed with drain installation and cleaning the surgery area. A press bandage was applied on the post suture site (figure 4).</w:t>
      </w:r>
    </w:p>
    <w:p w:rsidR="00F04226" w:rsidRDefault="00C73725" w:rsidP="00F04226">
      <w:pPr>
        <w:spacing w:after="0" w:line="480" w:lineRule="auto"/>
        <w:rPr>
          <w:rFonts w:ascii="Trebuchet MS" w:hAnsi="Trebuchet MS" w:cs="Times New Roman"/>
          <w:sz w:val="20"/>
          <w:szCs w:val="20"/>
        </w:rPr>
      </w:pPr>
      <w:r w:rsidRPr="00C73725">
        <w:rPr>
          <w:rFonts w:ascii="Trebuchet MS" w:hAnsi="Trebuchet MS" w:cs="Times New Roman"/>
          <w:noProof/>
          <w:sz w:val="20"/>
          <w:szCs w:val="20"/>
        </w:rPr>
        <w:drawing>
          <wp:anchor distT="0" distB="0" distL="114300" distR="114300" simplePos="0" relativeHeight="251672576" behindDoc="0" locked="0" layoutInCell="1" allowOverlap="1" wp14:anchorId="13BBFC2A" wp14:editId="2DC59F0A">
            <wp:simplePos x="0" y="0"/>
            <wp:positionH relativeFrom="column">
              <wp:posOffset>252912</wp:posOffset>
            </wp:positionH>
            <wp:positionV relativeFrom="paragraph">
              <wp:posOffset>11392</wp:posOffset>
            </wp:positionV>
            <wp:extent cx="1448554" cy="1086852"/>
            <wp:effectExtent l="38100" t="38100" r="94615" b="94615"/>
            <wp:wrapNone/>
            <wp:docPr id="78855" name="Picture 5" descr="C:\Users\drg. Wildan\Documents\Bluetooth Folder\IMG-20170223-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5" name="Picture 5" descr="C:\Users\drg. Wildan\Documents\Bluetooth Folder\IMG-20170223-WA005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8554" cy="1086852"/>
                    </a:xfrm>
                    <a:prstGeom prst="rect">
                      <a:avLst/>
                    </a:prstGeom>
                    <a:noFill/>
                    <a:ln>
                      <a:noFill/>
                    </a:ln>
                    <a:effectLst>
                      <a:outerShdw blurRad="50800" dist="38100" dir="2700000" algn="tl" rotWithShape="0">
                        <a:prstClr val="black">
                          <a:alpha val="40000"/>
                        </a:prstClr>
                      </a:outerShdw>
                    </a:effectLst>
                    <a:extLst/>
                  </pic:spPr>
                </pic:pic>
              </a:graphicData>
            </a:graphic>
            <wp14:sizeRelH relativeFrom="margin">
              <wp14:pctWidth>0</wp14:pctWidth>
            </wp14:sizeRelH>
            <wp14:sizeRelV relativeFrom="margin">
              <wp14:pctHeight>0</wp14:pctHeight>
            </wp14:sizeRelV>
          </wp:anchor>
        </w:drawing>
      </w:r>
    </w:p>
    <w:p w:rsidR="00C73725" w:rsidRDefault="00C73725" w:rsidP="00F04226">
      <w:pPr>
        <w:spacing w:after="0" w:line="480" w:lineRule="auto"/>
        <w:rPr>
          <w:rFonts w:ascii="Trebuchet MS" w:hAnsi="Trebuchet MS" w:cs="Times New Roman"/>
          <w:sz w:val="20"/>
          <w:szCs w:val="20"/>
        </w:rPr>
      </w:pPr>
    </w:p>
    <w:p w:rsidR="00C73725" w:rsidRDefault="00C73725" w:rsidP="00F04226">
      <w:pPr>
        <w:spacing w:after="0" w:line="480" w:lineRule="auto"/>
        <w:rPr>
          <w:rFonts w:ascii="Trebuchet MS" w:hAnsi="Trebuchet MS" w:cs="Times New Roman"/>
          <w:sz w:val="20"/>
          <w:szCs w:val="20"/>
        </w:rPr>
      </w:pPr>
    </w:p>
    <w:p w:rsidR="00FB314B" w:rsidRDefault="00FB314B" w:rsidP="00FB314B">
      <w:pPr>
        <w:spacing w:after="0" w:line="240" w:lineRule="auto"/>
        <w:rPr>
          <w:rFonts w:ascii="Trebuchet MS" w:hAnsi="Trebuchet MS" w:cs="Times New Roman"/>
          <w:sz w:val="20"/>
          <w:szCs w:val="20"/>
        </w:rPr>
      </w:pPr>
    </w:p>
    <w:p w:rsidR="00FB314B" w:rsidRPr="00FB314B" w:rsidRDefault="00FB314B" w:rsidP="00FB314B">
      <w:pPr>
        <w:spacing w:after="0" w:line="240" w:lineRule="auto"/>
        <w:rPr>
          <w:rFonts w:ascii="Trebuchet MS" w:hAnsi="Trebuchet MS"/>
          <w:sz w:val="18"/>
          <w:szCs w:val="18"/>
        </w:rPr>
      </w:pPr>
    </w:p>
    <w:p w:rsidR="00C73725" w:rsidRDefault="00AC4488" w:rsidP="00AC4488">
      <w:pPr>
        <w:spacing w:after="0" w:line="240" w:lineRule="auto"/>
        <w:jc w:val="center"/>
        <w:rPr>
          <w:rFonts w:ascii="Trebuchet MS" w:hAnsi="Trebuchet MS"/>
          <w:sz w:val="18"/>
          <w:szCs w:val="18"/>
        </w:rPr>
      </w:pPr>
      <w:r w:rsidRPr="00A472FF">
        <w:rPr>
          <w:rFonts w:ascii="Trebuchet MS" w:hAnsi="Trebuchet MS"/>
          <w:b/>
          <w:sz w:val="18"/>
          <w:szCs w:val="18"/>
        </w:rPr>
        <w:t>Fig. 4</w:t>
      </w:r>
      <w:r w:rsidRPr="00BF2F47">
        <w:rPr>
          <w:rFonts w:ascii="Trebuchet MS" w:hAnsi="Trebuchet MS"/>
          <w:b/>
          <w:sz w:val="18"/>
          <w:szCs w:val="18"/>
        </w:rPr>
        <w:t xml:space="preserve">. </w:t>
      </w:r>
      <w:r>
        <w:rPr>
          <w:rFonts w:ascii="Trebuchet MS" w:hAnsi="Trebuchet MS"/>
          <w:sz w:val="18"/>
          <w:szCs w:val="18"/>
        </w:rPr>
        <w:t>Removal of rig</w:t>
      </w:r>
      <w:r w:rsidR="00FB314B">
        <w:rPr>
          <w:rFonts w:ascii="Trebuchet MS" w:hAnsi="Trebuchet MS"/>
          <w:sz w:val="18"/>
          <w:szCs w:val="18"/>
        </w:rPr>
        <w:t>ht submandibular gland and retrieval of 9 sialolith stones</w:t>
      </w:r>
    </w:p>
    <w:p w:rsidR="00FB314B" w:rsidRDefault="00FB314B" w:rsidP="00E355DA">
      <w:pPr>
        <w:spacing w:after="0" w:line="240" w:lineRule="auto"/>
        <w:jc w:val="both"/>
        <w:rPr>
          <w:rFonts w:ascii="Trebuchet MS" w:hAnsi="Trebuchet MS"/>
          <w:sz w:val="18"/>
          <w:szCs w:val="18"/>
        </w:rPr>
      </w:pPr>
    </w:p>
    <w:p w:rsidR="00FB314B" w:rsidRDefault="009E58AD" w:rsidP="00F12B6B">
      <w:pPr>
        <w:spacing w:after="0" w:line="480" w:lineRule="auto"/>
        <w:ind w:firstLine="720"/>
        <w:jc w:val="both"/>
        <w:rPr>
          <w:rFonts w:ascii="Trebuchet MS" w:hAnsi="Trebuchet MS"/>
          <w:sz w:val="20"/>
          <w:szCs w:val="20"/>
        </w:rPr>
      </w:pPr>
      <w:r w:rsidRPr="00F12B6B">
        <w:rPr>
          <w:rFonts w:ascii="Trebuchet MS" w:hAnsi="Trebuchet MS" w:cs="Times New Roman"/>
          <w:noProof/>
          <w:sz w:val="20"/>
          <w:szCs w:val="20"/>
        </w:rPr>
        <w:drawing>
          <wp:anchor distT="0" distB="0" distL="114300" distR="114300" simplePos="0" relativeHeight="251674624" behindDoc="0" locked="0" layoutInCell="1" allowOverlap="1" wp14:anchorId="003111A4" wp14:editId="757E824A">
            <wp:simplePos x="0" y="0"/>
            <wp:positionH relativeFrom="column">
              <wp:posOffset>1788985</wp:posOffset>
            </wp:positionH>
            <wp:positionV relativeFrom="paragraph">
              <wp:posOffset>3201670</wp:posOffset>
            </wp:positionV>
            <wp:extent cx="1600200" cy="1200785"/>
            <wp:effectExtent l="0" t="0" r="0" b="0"/>
            <wp:wrapNone/>
            <wp:docPr id="3" name="Picture 3" descr="D:\Bandung Dentistry 2018\sherly\20170302_103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ndung Dentistry 2018\sherly\20170302_10355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0200" cy="1200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B6B">
        <w:rPr>
          <w:rFonts w:ascii="Trebuchet MS" w:hAnsi="Trebuchet MS"/>
          <w:noProof/>
          <w:sz w:val="20"/>
          <w:szCs w:val="20"/>
        </w:rPr>
        <w:drawing>
          <wp:anchor distT="0" distB="0" distL="114300" distR="114300" simplePos="0" relativeHeight="251673600" behindDoc="0" locked="0" layoutInCell="1" allowOverlap="1" wp14:anchorId="70F87FDE" wp14:editId="084E6C33">
            <wp:simplePos x="0" y="0"/>
            <wp:positionH relativeFrom="column">
              <wp:posOffset>105220</wp:posOffset>
            </wp:positionH>
            <wp:positionV relativeFrom="paragraph">
              <wp:posOffset>3208020</wp:posOffset>
            </wp:positionV>
            <wp:extent cx="1591113" cy="1192735"/>
            <wp:effectExtent l="0" t="0" r="9525" b="7620"/>
            <wp:wrapNone/>
            <wp:docPr id="2" name="Picture 2" descr="D:\Bandung Dentistry 2018\sherly\IMG-2017022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ndung Dentistry 2018\sherly\IMG-20170224-WA003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1113" cy="119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8AD">
        <w:rPr>
          <w:rFonts w:ascii="Trebuchet MS" w:hAnsi="Trebuchet MS" w:cs="Times New Roman"/>
          <w:b/>
          <w:noProof/>
          <w:sz w:val="20"/>
          <w:szCs w:val="20"/>
        </w:rPr>
        <w:drawing>
          <wp:anchor distT="0" distB="0" distL="114300" distR="114300" simplePos="0" relativeHeight="251675648" behindDoc="0" locked="0" layoutInCell="1" allowOverlap="1" wp14:anchorId="6C931BF8" wp14:editId="62A4FAB8">
            <wp:simplePos x="0" y="0"/>
            <wp:positionH relativeFrom="column">
              <wp:posOffset>3486150</wp:posOffset>
            </wp:positionH>
            <wp:positionV relativeFrom="paragraph">
              <wp:posOffset>3202495</wp:posOffset>
            </wp:positionV>
            <wp:extent cx="2259105" cy="1199582"/>
            <wp:effectExtent l="0" t="0" r="8255" b="635"/>
            <wp:wrapNone/>
            <wp:docPr id="4" name="Picture 4" descr="D:\Bandung Dentistry 2018\Serly Herliantini 0001527885\IMG_4730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ndung Dentistry 2018\Serly Herliantini 0001527885\IMG_4730 edit.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sharpenSoften amount="25000"/>
                              </a14:imgEffect>
                              <a14:imgEffect>
                                <a14:saturation sat="0"/>
                              </a14:imgEffect>
                            </a14:imgLayer>
                          </a14:imgProps>
                        </a:ext>
                        <a:ext uri="{28A0092B-C50C-407E-A947-70E740481C1C}">
                          <a14:useLocalDpi xmlns:a14="http://schemas.microsoft.com/office/drawing/2010/main" val="0"/>
                        </a:ext>
                      </a:extLst>
                    </a:blip>
                    <a:srcRect l="1280" t="22514" r="2826" b="9613"/>
                    <a:stretch/>
                  </pic:blipFill>
                  <pic:spPr bwMode="auto">
                    <a:xfrm>
                      <a:off x="0" y="0"/>
                      <a:ext cx="2259105" cy="11995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314B" w:rsidRPr="00E355DA">
        <w:rPr>
          <w:rFonts w:ascii="Trebuchet MS" w:hAnsi="Trebuchet MS"/>
          <w:sz w:val="20"/>
          <w:szCs w:val="20"/>
        </w:rPr>
        <w:t>Patient was discharged on the second day after surgery (figure 5A) then she was scheduled control at the polyclinic</w:t>
      </w:r>
      <w:r w:rsidR="00E355DA" w:rsidRPr="00E355DA">
        <w:rPr>
          <w:rFonts w:ascii="Trebuchet MS" w:hAnsi="Trebuchet MS"/>
          <w:sz w:val="20"/>
          <w:szCs w:val="20"/>
        </w:rPr>
        <w:t xml:space="preserve"> of Oral and Maxillofacial Surgery one week later (figure 5B) bringing the result of anatomic pathology tissue examination. Microscopically tissue sample</w:t>
      </w:r>
      <w:r w:rsidR="00E355DA">
        <w:rPr>
          <w:rFonts w:ascii="Trebuchet MS" w:hAnsi="Trebuchet MS"/>
          <w:sz w:val="20"/>
          <w:szCs w:val="20"/>
        </w:rPr>
        <w:t xml:space="preserve"> was found to be coated. The subepithelium showed stromal fibro collagen connective tissue, powdered massive inflammatory cells: lymphocytes, eosinophil, and plasma cells. Salivary </w:t>
      </w:r>
      <w:r w:rsidR="004A022D">
        <w:rPr>
          <w:rFonts w:ascii="Trebuchet MS" w:hAnsi="Trebuchet MS"/>
          <w:sz w:val="20"/>
          <w:szCs w:val="20"/>
        </w:rPr>
        <w:t>gland presence among the cell</w:t>
      </w:r>
      <w:r w:rsidR="00E355DA">
        <w:rPr>
          <w:rFonts w:ascii="Trebuchet MS" w:hAnsi="Trebuchet MS"/>
          <w:sz w:val="20"/>
          <w:szCs w:val="20"/>
        </w:rPr>
        <w:t>s with tubular shape coated with thorax epithelium, the cells nucleus were within normal limits. The ducts of salivary gland were dilated. A subcapsular view presence hyperplastic lymphoid fol</w:t>
      </w:r>
      <w:r w:rsidR="004A022D">
        <w:rPr>
          <w:rFonts w:ascii="Trebuchet MS" w:hAnsi="Trebuchet MS"/>
          <w:sz w:val="20"/>
          <w:szCs w:val="20"/>
        </w:rPr>
        <w:t>licles with dilating blood vess</w:t>
      </w:r>
      <w:r w:rsidR="00E355DA">
        <w:rPr>
          <w:rFonts w:ascii="Trebuchet MS" w:hAnsi="Trebuchet MS"/>
          <w:sz w:val="20"/>
          <w:szCs w:val="20"/>
        </w:rPr>
        <w:t>e</w:t>
      </w:r>
      <w:r w:rsidR="004A022D">
        <w:rPr>
          <w:rFonts w:ascii="Trebuchet MS" w:hAnsi="Trebuchet MS"/>
          <w:sz w:val="20"/>
          <w:szCs w:val="20"/>
        </w:rPr>
        <w:t>l</w:t>
      </w:r>
      <w:r w:rsidR="00E355DA">
        <w:rPr>
          <w:rFonts w:ascii="Trebuchet MS" w:hAnsi="Trebuchet MS"/>
          <w:sz w:val="20"/>
          <w:szCs w:val="20"/>
        </w:rPr>
        <w:t>s accompanied with bleeding area. Also present are mature fat cells, with nucleus on the edge of the cells was within normal limit. There was no sign malignancy. So histologically it was to be concluded as chronic non specific sialadenitis sialolithiasis at submandibular region.</w:t>
      </w:r>
    </w:p>
    <w:p w:rsidR="00F12B6B" w:rsidRPr="00E355DA" w:rsidRDefault="00F12B6B" w:rsidP="00F12B6B">
      <w:pPr>
        <w:spacing w:after="0" w:line="480" w:lineRule="auto"/>
        <w:ind w:firstLine="720"/>
        <w:jc w:val="both"/>
        <w:rPr>
          <w:rFonts w:ascii="Trebuchet MS" w:hAnsi="Trebuchet MS"/>
          <w:sz w:val="20"/>
          <w:szCs w:val="20"/>
        </w:rPr>
      </w:pPr>
    </w:p>
    <w:p w:rsidR="00FB314B" w:rsidRPr="00F04226" w:rsidRDefault="00FB314B" w:rsidP="00FB314B">
      <w:pPr>
        <w:spacing w:after="0" w:line="240" w:lineRule="auto"/>
        <w:rPr>
          <w:rFonts w:ascii="Trebuchet MS" w:hAnsi="Trebuchet MS" w:cs="Times New Roman"/>
          <w:sz w:val="20"/>
          <w:szCs w:val="20"/>
        </w:rPr>
      </w:pPr>
    </w:p>
    <w:p w:rsidR="00BF2F47" w:rsidRDefault="00BF2F47" w:rsidP="007D014C">
      <w:pPr>
        <w:spacing w:after="0" w:line="480" w:lineRule="auto"/>
        <w:jc w:val="both"/>
        <w:rPr>
          <w:rFonts w:ascii="Trebuchet MS" w:hAnsi="Trebuchet MS" w:cs="Times New Roman"/>
          <w:b/>
          <w:sz w:val="20"/>
          <w:szCs w:val="20"/>
        </w:rPr>
      </w:pPr>
    </w:p>
    <w:p w:rsidR="00A472FF" w:rsidRDefault="00A472FF" w:rsidP="007D014C">
      <w:pPr>
        <w:spacing w:after="0" w:line="480" w:lineRule="auto"/>
        <w:jc w:val="both"/>
        <w:rPr>
          <w:rFonts w:ascii="Trebuchet MS" w:hAnsi="Trebuchet MS" w:cs="Times New Roman"/>
          <w:b/>
          <w:sz w:val="20"/>
          <w:szCs w:val="20"/>
        </w:rPr>
      </w:pPr>
    </w:p>
    <w:p w:rsidR="00A472FF" w:rsidRDefault="00A472FF" w:rsidP="00A472FF">
      <w:pPr>
        <w:spacing w:after="0" w:line="240" w:lineRule="auto"/>
        <w:jc w:val="both"/>
        <w:rPr>
          <w:rFonts w:ascii="Trebuchet MS" w:hAnsi="Trebuchet MS" w:cs="Times New Roman"/>
          <w:b/>
          <w:sz w:val="20"/>
          <w:szCs w:val="20"/>
        </w:rPr>
      </w:pPr>
    </w:p>
    <w:p w:rsidR="00A472FF" w:rsidRPr="00A472FF" w:rsidRDefault="009E58AD" w:rsidP="00A472FF">
      <w:pPr>
        <w:spacing w:after="0" w:line="240" w:lineRule="auto"/>
        <w:jc w:val="both"/>
        <w:rPr>
          <w:rFonts w:ascii="Trebuchet MS" w:hAnsi="Trebuchet MS" w:cs="Times New Roman"/>
          <w:b/>
          <w:sz w:val="20"/>
          <w:szCs w:val="20"/>
        </w:rPr>
      </w:pPr>
      <w:r>
        <w:rPr>
          <w:rFonts w:ascii="Trebuchet MS" w:hAnsi="Trebuchet MS" w:cs="Times New Roman"/>
          <w:b/>
          <w:sz w:val="20"/>
          <w:szCs w:val="20"/>
        </w:rPr>
        <w:t xml:space="preserve">      </w:t>
      </w:r>
      <w:r w:rsidR="00A472FF">
        <w:rPr>
          <w:rFonts w:ascii="Trebuchet MS" w:hAnsi="Trebuchet MS" w:cs="Times New Roman"/>
          <w:b/>
          <w:sz w:val="20"/>
          <w:szCs w:val="20"/>
        </w:rPr>
        <w:t xml:space="preserve">A                 </w:t>
      </w:r>
      <w:r>
        <w:rPr>
          <w:rFonts w:ascii="Trebuchet MS" w:hAnsi="Trebuchet MS" w:cs="Times New Roman"/>
          <w:b/>
          <w:sz w:val="20"/>
          <w:szCs w:val="20"/>
        </w:rPr>
        <w:t xml:space="preserve">                          </w:t>
      </w:r>
      <w:r w:rsidR="00A472FF">
        <w:rPr>
          <w:rFonts w:ascii="Trebuchet MS" w:hAnsi="Trebuchet MS" w:cs="Times New Roman"/>
          <w:b/>
          <w:sz w:val="20"/>
          <w:szCs w:val="20"/>
        </w:rPr>
        <w:t xml:space="preserve">B         </w:t>
      </w:r>
    </w:p>
    <w:p w:rsidR="00A472FF" w:rsidRDefault="00A472FF" w:rsidP="00A472FF">
      <w:pPr>
        <w:spacing w:after="0" w:line="240" w:lineRule="auto"/>
        <w:jc w:val="center"/>
        <w:rPr>
          <w:rFonts w:ascii="Trebuchet MS" w:hAnsi="Trebuchet MS"/>
          <w:sz w:val="18"/>
          <w:szCs w:val="18"/>
        </w:rPr>
      </w:pPr>
      <w:r w:rsidRPr="00A472FF">
        <w:rPr>
          <w:rFonts w:ascii="Trebuchet MS" w:hAnsi="Trebuchet MS"/>
          <w:b/>
          <w:sz w:val="18"/>
          <w:szCs w:val="18"/>
        </w:rPr>
        <w:t>Fig. 5.</w:t>
      </w:r>
      <w:r w:rsidRPr="00BF2F47">
        <w:rPr>
          <w:rFonts w:ascii="Trebuchet MS" w:hAnsi="Trebuchet MS"/>
          <w:b/>
          <w:sz w:val="18"/>
          <w:szCs w:val="18"/>
        </w:rPr>
        <w:t xml:space="preserve"> </w:t>
      </w:r>
      <w:r>
        <w:rPr>
          <w:rFonts w:ascii="Trebuchet MS" w:hAnsi="Trebuchet MS"/>
          <w:b/>
          <w:sz w:val="18"/>
          <w:szCs w:val="18"/>
        </w:rPr>
        <w:t xml:space="preserve">A. </w:t>
      </w:r>
      <w:r>
        <w:rPr>
          <w:rFonts w:ascii="Trebuchet MS" w:hAnsi="Trebuchet MS"/>
          <w:sz w:val="18"/>
          <w:szCs w:val="18"/>
        </w:rPr>
        <w:t>Post operative of the second day, B. Control after 1 week</w:t>
      </w:r>
      <w:r w:rsidR="009E58AD">
        <w:rPr>
          <w:rFonts w:ascii="Trebuchet MS" w:hAnsi="Trebuchet MS"/>
          <w:sz w:val="18"/>
          <w:szCs w:val="18"/>
        </w:rPr>
        <w:t xml:space="preserve"> and panoramic radiograph</w:t>
      </w:r>
    </w:p>
    <w:p w:rsidR="00BE0434" w:rsidRDefault="00BE0434" w:rsidP="00A472FF">
      <w:pPr>
        <w:spacing w:after="0" w:line="240" w:lineRule="auto"/>
        <w:jc w:val="center"/>
        <w:rPr>
          <w:rFonts w:ascii="Trebuchet MS" w:hAnsi="Trebuchet MS"/>
          <w:sz w:val="18"/>
          <w:szCs w:val="18"/>
        </w:rPr>
      </w:pPr>
    </w:p>
    <w:p w:rsidR="00BE0434" w:rsidRDefault="00BE0434" w:rsidP="00A472FF">
      <w:pPr>
        <w:spacing w:after="0" w:line="240" w:lineRule="auto"/>
        <w:jc w:val="center"/>
        <w:rPr>
          <w:rFonts w:ascii="Trebuchet MS" w:hAnsi="Trebuchet MS"/>
          <w:sz w:val="18"/>
          <w:szCs w:val="18"/>
        </w:rPr>
      </w:pPr>
    </w:p>
    <w:p w:rsidR="00BE0434" w:rsidRDefault="00BE0434" w:rsidP="00A472FF">
      <w:pPr>
        <w:spacing w:after="0" w:line="240" w:lineRule="auto"/>
        <w:jc w:val="center"/>
        <w:rPr>
          <w:rFonts w:ascii="Trebuchet MS" w:hAnsi="Trebuchet MS"/>
          <w:sz w:val="18"/>
          <w:szCs w:val="18"/>
        </w:rPr>
      </w:pPr>
    </w:p>
    <w:p w:rsidR="00BE0434" w:rsidRDefault="00BE0434" w:rsidP="00A472FF">
      <w:pPr>
        <w:spacing w:after="0" w:line="240" w:lineRule="auto"/>
        <w:jc w:val="center"/>
        <w:rPr>
          <w:rFonts w:ascii="Trebuchet MS" w:hAnsi="Trebuchet MS"/>
          <w:sz w:val="18"/>
          <w:szCs w:val="18"/>
        </w:rPr>
      </w:pPr>
    </w:p>
    <w:p w:rsidR="00BE0434" w:rsidRDefault="00BE0434" w:rsidP="00A472FF">
      <w:pPr>
        <w:spacing w:after="0" w:line="240" w:lineRule="auto"/>
        <w:jc w:val="center"/>
        <w:rPr>
          <w:rFonts w:ascii="Trebuchet MS" w:hAnsi="Trebuchet MS"/>
          <w:sz w:val="18"/>
          <w:szCs w:val="18"/>
        </w:rPr>
      </w:pPr>
    </w:p>
    <w:p w:rsidR="00EC4D40" w:rsidRDefault="00EC4D40" w:rsidP="00A472FF">
      <w:pPr>
        <w:spacing w:after="0" w:line="240" w:lineRule="auto"/>
        <w:jc w:val="center"/>
        <w:rPr>
          <w:rFonts w:ascii="Trebuchet MS" w:hAnsi="Trebuchet MS"/>
          <w:sz w:val="18"/>
          <w:szCs w:val="18"/>
        </w:rPr>
      </w:pPr>
    </w:p>
    <w:p w:rsidR="00EC4D40" w:rsidRDefault="00EC4D40" w:rsidP="00A472FF">
      <w:pPr>
        <w:spacing w:after="0" w:line="240" w:lineRule="auto"/>
        <w:jc w:val="center"/>
        <w:rPr>
          <w:rFonts w:ascii="Trebuchet MS" w:hAnsi="Trebuchet MS"/>
          <w:sz w:val="18"/>
          <w:szCs w:val="18"/>
        </w:rPr>
      </w:pPr>
    </w:p>
    <w:p w:rsidR="00EC4D40" w:rsidRDefault="00EC4D40" w:rsidP="00A472FF">
      <w:pPr>
        <w:spacing w:after="0" w:line="240" w:lineRule="auto"/>
        <w:jc w:val="center"/>
        <w:rPr>
          <w:rFonts w:ascii="Trebuchet MS" w:hAnsi="Trebuchet MS"/>
          <w:sz w:val="18"/>
          <w:szCs w:val="18"/>
        </w:rPr>
      </w:pPr>
    </w:p>
    <w:p w:rsidR="00EC4D40" w:rsidRPr="00A472FF" w:rsidRDefault="00EC4D40" w:rsidP="00A472FF">
      <w:pPr>
        <w:spacing w:after="0" w:line="240" w:lineRule="auto"/>
        <w:jc w:val="center"/>
        <w:rPr>
          <w:rFonts w:ascii="Trebuchet MS" w:hAnsi="Trebuchet MS"/>
          <w:sz w:val="18"/>
          <w:szCs w:val="18"/>
        </w:rPr>
      </w:pPr>
    </w:p>
    <w:p w:rsidR="006165C3" w:rsidRDefault="006165C3" w:rsidP="007D014C">
      <w:pPr>
        <w:spacing w:after="0" w:line="480" w:lineRule="auto"/>
        <w:jc w:val="both"/>
        <w:rPr>
          <w:rFonts w:ascii="Trebuchet MS" w:hAnsi="Trebuchet MS" w:cs="Times New Roman"/>
          <w:b/>
          <w:sz w:val="20"/>
          <w:szCs w:val="20"/>
        </w:rPr>
      </w:pPr>
      <w:r>
        <w:rPr>
          <w:rFonts w:ascii="Trebuchet MS" w:hAnsi="Trebuchet MS" w:cs="Times New Roman"/>
          <w:b/>
          <w:sz w:val="20"/>
          <w:szCs w:val="20"/>
        </w:rPr>
        <w:t>Discussion</w:t>
      </w:r>
    </w:p>
    <w:p w:rsidR="006165C3" w:rsidRDefault="006165C3" w:rsidP="007D014C">
      <w:pPr>
        <w:spacing w:after="0" w:line="480" w:lineRule="auto"/>
        <w:jc w:val="both"/>
        <w:rPr>
          <w:rFonts w:ascii="Trebuchet MS" w:hAnsi="Trebuchet MS" w:cs="Times New Roman"/>
          <w:sz w:val="20"/>
          <w:szCs w:val="20"/>
          <w:vertAlign w:val="superscript"/>
        </w:rPr>
      </w:pPr>
      <w:r>
        <w:rPr>
          <w:rFonts w:ascii="Trebuchet MS" w:hAnsi="Trebuchet MS" w:cs="Times New Roman"/>
          <w:sz w:val="20"/>
          <w:szCs w:val="20"/>
        </w:rPr>
        <w:tab/>
        <w:t xml:space="preserve">Sialolithiasis is a common salivary gland disease. The sialolithiasis generally occurs in the submandibular glands with </w:t>
      </w:r>
      <w:r w:rsidR="00DE6339">
        <w:rPr>
          <w:rFonts w:ascii="Trebuchet MS" w:hAnsi="Trebuchet MS" w:cs="Times New Roman"/>
          <w:sz w:val="20"/>
          <w:szCs w:val="20"/>
        </w:rPr>
        <w:t>prevalence of more than 80%, 6% in the parotid gland and 2% in the sublingual gland or minor salivary glands. Clinical manifestations of submandibular stones will appear more clearly at mealtime, during the time of maximum saliva production, causing a sudden swelling and is usually very painful.</w:t>
      </w:r>
      <w:r w:rsidR="00DE6339" w:rsidRPr="00DE6339">
        <w:rPr>
          <w:rFonts w:ascii="Trebuchet MS" w:hAnsi="Trebuchet MS" w:cs="Times New Roman"/>
          <w:sz w:val="20"/>
          <w:szCs w:val="20"/>
          <w:vertAlign w:val="superscript"/>
        </w:rPr>
        <w:t>1,2,5</w:t>
      </w:r>
      <w:r w:rsidR="00DE6339">
        <w:rPr>
          <w:rFonts w:ascii="Trebuchet MS" w:hAnsi="Trebuchet MS" w:cs="Times New Roman"/>
          <w:sz w:val="20"/>
          <w:szCs w:val="20"/>
        </w:rPr>
        <w:t xml:space="preserve"> A clinician should record the symptoms like pain, lumps, decreased salivary flow, and malaise.</w:t>
      </w:r>
      <w:r w:rsidR="00DE6339" w:rsidRPr="00DE6339">
        <w:rPr>
          <w:rFonts w:ascii="Trebuchet MS" w:hAnsi="Trebuchet MS" w:cs="Times New Roman"/>
          <w:sz w:val="20"/>
          <w:szCs w:val="20"/>
          <w:vertAlign w:val="superscript"/>
        </w:rPr>
        <w:t>6</w:t>
      </w:r>
      <w:r w:rsidR="00DE6339">
        <w:rPr>
          <w:rFonts w:ascii="Trebuchet MS" w:hAnsi="Trebuchet MS" w:cs="Times New Roman"/>
          <w:sz w:val="20"/>
          <w:szCs w:val="20"/>
        </w:rPr>
        <w:t xml:space="preserve"> Swelling and pain that recurs in the gland can be associated to food or when seeing foods. The swelling reduced gradually, but will be repeated every time when the salivary flow is stimulated.</w:t>
      </w:r>
      <w:r w:rsidR="00DE6339" w:rsidRPr="00DE6339">
        <w:rPr>
          <w:rFonts w:ascii="Trebuchet MS" w:hAnsi="Trebuchet MS" w:cs="Times New Roman"/>
          <w:sz w:val="20"/>
          <w:szCs w:val="20"/>
          <w:vertAlign w:val="superscript"/>
        </w:rPr>
        <w:t>1,2,5,6</w:t>
      </w:r>
      <w:r w:rsidR="00DE6339">
        <w:rPr>
          <w:rFonts w:ascii="Trebuchet MS" w:hAnsi="Trebuchet MS" w:cs="Times New Roman"/>
          <w:sz w:val="20"/>
          <w:szCs w:val="20"/>
          <w:vertAlign w:val="superscript"/>
        </w:rPr>
        <w:t xml:space="preserve"> </w:t>
      </w:r>
      <w:r w:rsidR="00DE6339">
        <w:rPr>
          <w:rFonts w:ascii="Trebuchet MS" w:hAnsi="Trebuchet MS" w:cs="Times New Roman"/>
          <w:sz w:val="20"/>
          <w:szCs w:val="20"/>
        </w:rPr>
        <w:t>This process may continue until the complete obstruction, infection, or a combination of both. Obstruction, wit</w:t>
      </w:r>
      <w:r w:rsidR="001377E2">
        <w:rPr>
          <w:rFonts w:ascii="Trebuchet MS" w:hAnsi="Trebuchet MS" w:cs="Times New Roman"/>
          <w:sz w:val="20"/>
          <w:szCs w:val="20"/>
        </w:rPr>
        <w:t>h</w:t>
      </w:r>
      <w:r w:rsidR="00DE6339">
        <w:rPr>
          <w:rFonts w:ascii="Trebuchet MS" w:hAnsi="Trebuchet MS" w:cs="Times New Roman"/>
          <w:sz w:val="20"/>
          <w:szCs w:val="20"/>
        </w:rPr>
        <w:t xml:space="preserve"> or without infection, may lead to athropy of the involved glandular secretion cells.</w:t>
      </w:r>
      <w:r w:rsidR="00DE6339" w:rsidRPr="00DE6339">
        <w:rPr>
          <w:rFonts w:ascii="Trebuchet MS" w:hAnsi="Trebuchet MS" w:cs="Times New Roman"/>
          <w:sz w:val="20"/>
          <w:szCs w:val="20"/>
          <w:vertAlign w:val="superscript"/>
        </w:rPr>
        <w:t>7</w:t>
      </w:r>
      <w:r w:rsidR="00DE6339">
        <w:rPr>
          <w:rFonts w:ascii="Trebuchet MS" w:hAnsi="Trebuchet MS" w:cs="Times New Roman"/>
          <w:sz w:val="20"/>
          <w:szCs w:val="20"/>
          <w:vertAlign w:val="superscript"/>
        </w:rPr>
        <w:t xml:space="preserve"> </w:t>
      </w:r>
      <w:r w:rsidR="00DE6339">
        <w:rPr>
          <w:rFonts w:ascii="Trebuchet MS" w:hAnsi="Trebuchet MS" w:cs="Times New Roman"/>
          <w:sz w:val="20"/>
          <w:szCs w:val="20"/>
        </w:rPr>
        <w:t>Glands infection manifests with swelling in the floor of mouth, erythema and associated cervical lymphadenopathy</w:t>
      </w:r>
      <w:r w:rsidR="00492CB7">
        <w:rPr>
          <w:rFonts w:ascii="Trebuchet MS" w:hAnsi="Trebuchet MS" w:cs="Times New Roman"/>
          <w:sz w:val="20"/>
          <w:szCs w:val="20"/>
        </w:rPr>
        <w:t>.</w:t>
      </w:r>
      <w:r w:rsidR="00492CB7" w:rsidRPr="00492CB7">
        <w:rPr>
          <w:rFonts w:ascii="Trebuchet MS" w:hAnsi="Trebuchet MS" w:cs="Times New Roman"/>
          <w:sz w:val="20"/>
          <w:szCs w:val="20"/>
          <w:vertAlign w:val="superscript"/>
        </w:rPr>
        <w:t>5</w:t>
      </w:r>
      <w:r w:rsidR="00492CB7">
        <w:rPr>
          <w:rFonts w:ascii="Trebuchet MS" w:hAnsi="Trebuchet MS" w:cs="Times New Roman"/>
          <w:sz w:val="20"/>
          <w:szCs w:val="20"/>
          <w:vertAlign w:val="superscript"/>
        </w:rPr>
        <w:t xml:space="preserve"> </w:t>
      </w:r>
      <w:r w:rsidR="001377E2">
        <w:rPr>
          <w:rFonts w:ascii="Trebuchet MS" w:hAnsi="Trebuchet MS" w:cs="Times New Roman"/>
          <w:sz w:val="20"/>
          <w:szCs w:val="20"/>
        </w:rPr>
        <w:t>The period and duration of the swelling are very helpful in diagnosis. Clinical examination and palpation of the gland can help determine the lump in the gland, fixation, ulceration, or local nerve involvement and the intra oral examination can asses the decrease or increase of the salivary flow.</w:t>
      </w:r>
      <w:r w:rsidR="001377E2" w:rsidRPr="001377E2">
        <w:rPr>
          <w:rFonts w:ascii="Trebuchet MS" w:hAnsi="Trebuchet MS" w:cs="Times New Roman"/>
          <w:sz w:val="20"/>
          <w:szCs w:val="20"/>
          <w:vertAlign w:val="superscript"/>
        </w:rPr>
        <w:t>1,6</w:t>
      </w:r>
    </w:p>
    <w:p w:rsidR="00254CD4" w:rsidRPr="00FD58C5" w:rsidRDefault="00254CD4" w:rsidP="00254CD4">
      <w:pPr>
        <w:spacing w:after="0" w:line="480" w:lineRule="auto"/>
        <w:ind w:firstLine="720"/>
        <w:jc w:val="both"/>
        <w:rPr>
          <w:rFonts w:ascii="Trebuchet MS" w:hAnsi="Trebuchet MS" w:cs="Times New Roman"/>
          <w:sz w:val="20"/>
          <w:szCs w:val="20"/>
          <w:vertAlign w:val="superscript"/>
          <w:lang w:val="id-ID"/>
        </w:rPr>
      </w:pPr>
      <w:r w:rsidRPr="00254CD4">
        <w:rPr>
          <w:rFonts w:ascii="Trebuchet MS" w:hAnsi="Trebuchet MS" w:cs="Frutiger LT Std 45 Light"/>
          <w:color w:val="000000"/>
          <w:sz w:val="20"/>
          <w:szCs w:val="20"/>
        </w:rPr>
        <w:t>The pathogenesis of sialoliths is not well understood, with researchers believing that they occur due to the deposition of calcium salts via debris encountered in the duct lumen, enabling the development of calcified</w:t>
      </w:r>
      <w:r w:rsidRPr="00254CD4">
        <w:rPr>
          <w:rFonts w:ascii="Trebuchet MS" w:hAnsi="Trebuchet MS" w:cs="Frutiger LT Std 45 Light"/>
          <w:color w:val="000000"/>
          <w:sz w:val="20"/>
          <w:szCs w:val="20"/>
          <w:lang w:val="id-ID"/>
        </w:rPr>
        <w:t xml:space="preserve"> </w:t>
      </w:r>
      <w:r w:rsidRPr="00254CD4">
        <w:rPr>
          <w:rFonts w:ascii="Trebuchet MS" w:hAnsi="Trebuchet MS" w:cs="Frutiger LT Std 45 Light"/>
          <w:color w:val="000000"/>
          <w:sz w:val="20"/>
          <w:szCs w:val="20"/>
        </w:rPr>
        <w:t>structures with the salivary duct system</w:t>
      </w:r>
      <w:r w:rsidRPr="00254CD4">
        <w:rPr>
          <w:rStyle w:val="A10"/>
          <w:rFonts w:ascii="Trebuchet MS" w:hAnsi="Trebuchet MS"/>
          <w:sz w:val="20"/>
          <w:szCs w:val="20"/>
        </w:rPr>
        <w:t xml:space="preserve">.  </w:t>
      </w:r>
      <w:r w:rsidRPr="00254CD4">
        <w:rPr>
          <w:rFonts w:ascii="Trebuchet MS" w:hAnsi="Trebuchet MS" w:cs="Frutiger LT Std 45 Light"/>
          <w:color w:val="000000"/>
          <w:sz w:val="20"/>
          <w:szCs w:val="20"/>
        </w:rPr>
        <w:t>Although not correlated with the described cases, trauma has also been suggested as a possible etiological factor, particularly where trauma has been caused by the dentition, such as the lips and the buccal mucosa close to the occlusal line</w:t>
      </w:r>
      <w:r w:rsidRPr="00254CD4">
        <w:rPr>
          <w:rStyle w:val="A10"/>
          <w:rFonts w:ascii="Trebuchet MS" w:hAnsi="Trebuchet MS"/>
          <w:sz w:val="20"/>
          <w:szCs w:val="20"/>
        </w:rPr>
        <w:t xml:space="preserve">. </w:t>
      </w:r>
      <w:r w:rsidRPr="00254CD4">
        <w:rPr>
          <w:rFonts w:ascii="Trebuchet MS" w:hAnsi="Trebuchet MS" w:cs="Frutiger LT Std 45 Light"/>
          <w:color w:val="000000"/>
          <w:sz w:val="20"/>
          <w:szCs w:val="20"/>
        </w:rPr>
        <w:t>In the present study, the lesions were found on the upper and lower lips, regions constantly subjected to trauma. However, none of the patients reported a history of trauma prior to the development of their lesions.</w:t>
      </w:r>
      <w:r w:rsidR="00FD58C5" w:rsidRPr="00FD58C5">
        <w:rPr>
          <w:rFonts w:ascii="Trebuchet MS" w:hAnsi="Trebuchet MS" w:cs="Frutiger LT Std 45 Light"/>
          <w:color w:val="000000"/>
          <w:sz w:val="20"/>
          <w:szCs w:val="20"/>
          <w:vertAlign w:val="superscript"/>
          <w:lang w:val="id-ID"/>
        </w:rPr>
        <w:t>11</w:t>
      </w:r>
    </w:p>
    <w:p w:rsidR="001377E2" w:rsidRDefault="001377E2" w:rsidP="00254CD4">
      <w:pPr>
        <w:spacing w:after="0" w:line="480" w:lineRule="auto"/>
        <w:ind w:firstLine="720"/>
        <w:jc w:val="both"/>
        <w:rPr>
          <w:rFonts w:ascii="Trebuchet MS" w:hAnsi="Trebuchet MS" w:cs="Times New Roman"/>
          <w:sz w:val="20"/>
          <w:szCs w:val="20"/>
          <w:vertAlign w:val="superscript"/>
        </w:rPr>
      </w:pPr>
      <w:r>
        <w:rPr>
          <w:rFonts w:ascii="Trebuchet MS" w:hAnsi="Trebuchet MS" w:cs="Times New Roman"/>
          <w:sz w:val="20"/>
          <w:szCs w:val="20"/>
        </w:rPr>
        <w:t>E</w:t>
      </w:r>
      <w:r w:rsidRPr="001377E2">
        <w:rPr>
          <w:rFonts w:ascii="Trebuchet MS" w:hAnsi="Trebuchet MS" w:cs="Times New Roman"/>
          <w:sz w:val="20"/>
          <w:szCs w:val="20"/>
        </w:rPr>
        <w:t xml:space="preserve">tiopathogenesis </w:t>
      </w:r>
      <w:r>
        <w:rPr>
          <w:rFonts w:ascii="Trebuchet MS" w:hAnsi="Trebuchet MS" w:cs="Times New Roman"/>
          <w:sz w:val="20"/>
          <w:szCs w:val="20"/>
        </w:rPr>
        <w:t>multiple sialolitihiasis are neurohumoral condition causing salivary stagnation, a central nidus for stone formation, metabolic mechanism favouring precipitation of salivary salts into the matrix in the presence of coexisting inflammation.</w:t>
      </w:r>
      <w:r w:rsidRPr="001377E2">
        <w:rPr>
          <w:rFonts w:ascii="Trebuchet MS" w:hAnsi="Trebuchet MS" w:cs="Times New Roman"/>
          <w:sz w:val="20"/>
          <w:szCs w:val="20"/>
          <w:vertAlign w:val="superscript"/>
        </w:rPr>
        <w:t>8,9</w:t>
      </w:r>
      <w:r>
        <w:rPr>
          <w:rFonts w:ascii="Trebuchet MS" w:hAnsi="Trebuchet MS" w:cs="Times New Roman"/>
          <w:sz w:val="20"/>
          <w:szCs w:val="20"/>
          <w:vertAlign w:val="superscript"/>
        </w:rPr>
        <w:t xml:space="preserve"> </w:t>
      </w:r>
      <w:r>
        <w:rPr>
          <w:rFonts w:ascii="Trebuchet MS" w:hAnsi="Trebuchet MS" w:cs="Times New Roman"/>
          <w:sz w:val="20"/>
          <w:szCs w:val="20"/>
        </w:rPr>
        <w:t xml:space="preserve">Reasons for common involvement of submandibular gland are pH of saliva in submandibular gland is alkaline (6,8-7,1) favouring precipitation of calcium salts, </w:t>
      </w:r>
      <w:r w:rsidR="00E41099">
        <w:rPr>
          <w:rFonts w:ascii="Trebuchet MS" w:hAnsi="Trebuchet MS" w:cs="Times New Roman"/>
          <w:sz w:val="20"/>
          <w:szCs w:val="20"/>
        </w:rPr>
        <w:t>calcium contains relatively higher concentration of calcium phosphate salts in form of apatites, the submandibular gland expresses more viscous saliva due to higher mucous conten.</w:t>
      </w:r>
      <w:r w:rsidR="00E41099" w:rsidRPr="00E41099">
        <w:rPr>
          <w:rFonts w:ascii="Trebuchet MS" w:hAnsi="Trebuchet MS" w:cs="Times New Roman"/>
          <w:sz w:val="20"/>
          <w:szCs w:val="20"/>
          <w:vertAlign w:val="superscript"/>
        </w:rPr>
        <w:t>8,10</w:t>
      </w:r>
    </w:p>
    <w:p w:rsidR="00217D6C" w:rsidRPr="00217D6C" w:rsidRDefault="00217D6C" w:rsidP="00217D6C">
      <w:pPr>
        <w:autoSpaceDE w:val="0"/>
        <w:autoSpaceDN w:val="0"/>
        <w:adjustRightInd w:val="0"/>
        <w:spacing w:after="0" w:line="480" w:lineRule="auto"/>
        <w:ind w:firstLine="720"/>
        <w:jc w:val="both"/>
        <w:rPr>
          <w:rFonts w:ascii="Trebuchet MS" w:hAnsi="Trebuchet MS" w:cs="TimesNRMT"/>
          <w:color w:val="000000"/>
          <w:sz w:val="20"/>
          <w:szCs w:val="20"/>
          <w:lang w:val="id-ID"/>
        </w:rPr>
      </w:pPr>
      <w:r w:rsidRPr="00217D6C">
        <w:rPr>
          <w:rFonts w:ascii="Trebuchet MS" w:hAnsi="Trebuchet MS" w:cs="TimesNRMT"/>
          <w:color w:val="000000"/>
          <w:sz w:val="20"/>
          <w:szCs w:val="20"/>
          <w:lang w:val="id-ID"/>
        </w:rPr>
        <w:t>Sialoliths may be single or multiple. L</w:t>
      </w:r>
      <w:r w:rsidRPr="00217D6C">
        <w:rPr>
          <w:rFonts w:ascii="Trebuchet MS" w:hAnsi="Trebuchet MS" w:cs="TimesNRExpertMT"/>
          <w:color w:val="000000"/>
          <w:sz w:val="20"/>
          <w:szCs w:val="20"/>
          <w:lang w:val="id-ID"/>
        </w:rPr>
        <w:t xml:space="preserve">ustmann  </w:t>
      </w:r>
      <w:r w:rsidRPr="00217D6C">
        <w:rPr>
          <w:rFonts w:ascii="Trebuchet MS" w:hAnsi="Trebuchet MS" w:cs="TimesNRMT"/>
          <w:color w:val="000000"/>
          <w:sz w:val="20"/>
          <w:szCs w:val="20"/>
          <w:lang w:val="id-ID"/>
        </w:rPr>
        <w:t>et al.</w:t>
      </w:r>
      <w:r w:rsidRPr="00217D6C">
        <w:rPr>
          <w:rFonts w:ascii="Trebuchet MS" w:hAnsi="Trebuchet MS" w:cs="TimesNRMT"/>
          <w:color w:val="000080"/>
          <w:sz w:val="20"/>
          <w:szCs w:val="20"/>
          <w:lang w:val="id-ID"/>
        </w:rPr>
        <w:t xml:space="preserve"> </w:t>
      </w:r>
      <w:r w:rsidRPr="00217D6C">
        <w:rPr>
          <w:rFonts w:ascii="Trebuchet MS" w:hAnsi="Trebuchet MS" w:cs="TimesNRMT"/>
          <w:color w:val="000000"/>
          <w:sz w:val="20"/>
          <w:szCs w:val="20"/>
          <w:lang w:val="id-ID"/>
        </w:rPr>
        <w:t>reported that one sialolith was present in 75.3% of cases,two in 15.6%, three in 2.9%, and four to eight in 6.2%. A</w:t>
      </w:r>
      <w:r w:rsidRPr="00217D6C">
        <w:rPr>
          <w:rFonts w:ascii="Trebuchet MS" w:hAnsi="Trebuchet MS" w:cs="TimesNRExpertMT"/>
          <w:color w:val="000000"/>
          <w:sz w:val="20"/>
          <w:szCs w:val="20"/>
          <w:lang w:val="id-ID"/>
        </w:rPr>
        <w:t xml:space="preserve">ntonidiadis </w:t>
      </w:r>
      <w:r w:rsidRPr="00217D6C">
        <w:rPr>
          <w:rFonts w:ascii="Trebuchet MS" w:hAnsi="Trebuchet MS" w:cs="TimesNRMT"/>
          <w:color w:val="000000"/>
          <w:sz w:val="20"/>
          <w:szCs w:val="20"/>
          <w:lang w:val="id-ID"/>
        </w:rPr>
        <w:t>et al. reported one case of two sialoliths among three cases of minor salivary gland sialolithiasis. In 1972, H</w:t>
      </w:r>
      <w:r>
        <w:rPr>
          <w:rFonts w:ascii="Trebuchet MS" w:hAnsi="Trebuchet MS" w:cs="TimesNRExpertMT"/>
          <w:color w:val="000000"/>
          <w:sz w:val="20"/>
          <w:szCs w:val="20"/>
          <w:lang w:val="id-ID"/>
        </w:rPr>
        <w:t>urlen</w:t>
      </w:r>
      <w:r w:rsidRPr="00217D6C">
        <w:rPr>
          <w:rFonts w:ascii="Trebuchet MS" w:hAnsi="Trebuchet MS" w:cs="TimesNRExpertMT"/>
          <w:color w:val="000000"/>
          <w:sz w:val="20"/>
          <w:szCs w:val="20"/>
          <w:lang w:val="id-ID"/>
        </w:rPr>
        <w:t xml:space="preserve"> </w:t>
      </w:r>
      <w:r w:rsidRPr="00217D6C">
        <w:rPr>
          <w:rFonts w:ascii="Trebuchet MS" w:hAnsi="Trebuchet MS" w:cs="TimesNRMT"/>
          <w:color w:val="000000"/>
          <w:sz w:val="20"/>
          <w:szCs w:val="20"/>
          <w:lang w:val="id-ID"/>
        </w:rPr>
        <w:t>&amp; K</w:t>
      </w:r>
      <w:r>
        <w:rPr>
          <w:rFonts w:ascii="Trebuchet MS" w:hAnsi="Trebuchet MS" w:cs="TimesNRExpertMT"/>
          <w:color w:val="000000"/>
          <w:sz w:val="20"/>
          <w:szCs w:val="20"/>
          <w:lang w:val="id-ID"/>
        </w:rPr>
        <w:t>oppang</w:t>
      </w:r>
      <w:r w:rsidRPr="00217D6C">
        <w:rPr>
          <w:rFonts w:ascii="Trebuchet MS" w:hAnsi="Trebuchet MS" w:cs="TimesNRMT"/>
          <w:color w:val="000080"/>
          <w:sz w:val="20"/>
          <w:szCs w:val="20"/>
          <w:lang w:val="id-ID"/>
        </w:rPr>
        <w:t xml:space="preserve"> </w:t>
      </w:r>
      <w:r w:rsidRPr="00217D6C">
        <w:rPr>
          <w:rFonts w:ascii="Trebuchet MS" w:hAnsi="Trebuchet MS" w:cs="TimesNRMT"/>
          <w:color w:val="000000"/>
          <w:sz w:val="20"/>
          <w:szCs w:val="20"/>
          <w:lang w:val="id-ID"/>
        </w:rPr>
        <w:t>reported a case of multiple sialolithiasis of the minor salivary gland in which three sialoliths were removed. P</w:t>
      </w:r>
      <w:r>
        <w:rPr>
          <w:rFonts w:ascii="Trebuchet MS" w:hAnsi="Trebuchet MS" w:cs="TimesNRExpertMT"/>
          <w:color w:val="000000"/>
          <w:sz w:val="20"/>
          <w:szCs w:val="20"/>
          <w:lang w:val="id-ID"/>
        </w:rPr>
        <w:t>ark</w:t>
      </w:r>
      <w:r w:rsidRPr="00217D6C">
        <w:rPr>
          <w:rFonts w:ascii="Trebuchet MS" w:hAnsi="Trebuchet MS" w:cs="TimesNRExpertMT"/>
          <w:color w:val="000000"/>
          <w:sz w:val="20"/>
          <w:szCs w:val="20"/>
          <w:lang w:val="id-ID"/>
        </w:rPr>
        <w:t xml:space="preserve"> </w:t>
      </w:r>
      <w:r w:rsidRPr="00217D6C">
        <w:rPr>
          <w:rFonts w:ascii="Trebuchet MS" w:hAnsi="Trebuchet MS" w:cs="TimesNRMT"/>
          <w:color w:val="000000"/>
          <w:sz w:val="20"/>
          <w:szCs w:val="20"/>
          <w:lang w:val="id-ID"/>
        </w:rPr>
        <w:t>et al.</w:t>
      </w:r>
      <w:r w:rsidRPr="00217D6C">
        <w:rPr>
          <w:rFonts w:ascii="Trebuchet MS" w:hAnsi="Trebuchet MS" w:cs="TimesNRMT"/>
          <w:color w:val="000080"/>
          <w:sz w:val="20"/>
          <w:szCs w:val="20"/>
          <w:lang w:val="id-ID"/>
        </w:rPr>
        <w:t xml:space="preserve"> </w:t>
      </w:r>
      <w:r w:rsidRPr="00217D6C">
        <w:rPr>
          <w:rFonts w:ascii="Trebuchet MS" w:hAnsi="Trebuchet MS" w:cs="TimesNRMT"/>
          <w:color w:val="000000"/>
          <w:sz w:val="20"/>
          <w:szCs w:val="20"/>
          <w:lang w:val="id-ID"/>
        </w:rPr>
        <w:t>in 1992 described two rare cases of multiple sialolithiasis, one involving four sialoliths within Wharton’s duct, and the other 16 sialoliths in the orifice of Stensen’s duct. Similar to the patients described by P</w:t>
      </w:r>
      <w:r>
        <w:rPr>
          <w:rFonts w:ascii="Trebuchet MS" w:hAnsi="Trebuchet MS" w:cs="TimesNRExpertMT"/>
          <w:color w:val="000000"/>
          <w:sz w:val="20"/>
          <w:szCs w:val="20"/>
          <w:lang w:val="id-ID"/>
        </w:rPr>
        <w:t>ark</w:t>
      </w:r>
      <w:r w:rsidRPr="00217D6C">
        <w:rPr>
          <w:rFonts w:ascii="Trebuchet MS" w:hAnsi="Trebuchet MS" w:cs="TimesNRMT"/>
          <w:color w:val="000000"/>
          <w:sz w:val="20"/>
          <w:szCs w:val="20"/>
          <w:lang w:val="id-ID"/>
        </w:rPr>
        <w:t>, our case was very rare owing to the presence of more than 22 sialoliths within and around the sublingual gland, which usually has a very low frequency of sialolithiasis, especially that involving multiple sialoliths.</w:t>
      </w:r>
      <w:r w:rsidR="00FD58C5" w:rsidRPr="00FD58C5">
        <w:rPr>
          <w:rFonts w:ascii="Trebuchet MS" w:hAnsi="Trebuchet MS" w:cs="TimesNRMT"/>
          <w:color w:val="000000"/>
          <w:sz w:val="20"/>
          <w:szCs w:val="20"/>
          <w:vertAlign w:val="superscript"/>
          <w:lang w:val="id-ID"/>
        </w:rPr>
        <w:t>12</w:t>
      </w:r>
    </w:p>
    <w:p w:rsidR="00E41099" w:rsidRDefault="00E41099" w:rsidP="007D014C">
      <w:pPr>
        <w:spacing w:after="0" w:line="480" w:lineRule="auto"/>
        <w:jc w:val="both"/>
        <w:rPr>
          <w:rFonts w:ascii="Trebuchet MS" w:hAnsi="Trebuchet MS" w:cs="Times New Roman"/>
          <w:sz w:val="20"/>
          <w:szCs w:val="20"/>
          <w:vertAlign w:val="superscript"/>
        </w:rPr>
      </w:pPr>
      <w:r>
        <w:rPr>
          <w:rFonts w:ascii="Trebuchet MS" w:hAnsi="Trebuchet MS" w:cs="Times New Roman"/>
          <w:sz w:val="20"/>
          <w:szCs w:val="20"/>
        </w:rPr>
        <w:tab/>
        <w:t xml:space="preserve">Radiographs often show </w:t>
      </w:r>
      <w:r w:rsidR="00BE0434">
        <w:rPr>
          <w:rFonts w:ascii="Trebuchet MS" w:hAnsi="Trebuchet MS" w:cs="Times New Roman"/>
          <w:sz w:val="20"/>
          <w:szCs w:val="20"/>
        </w:rPr>
        <w:t>radiopaque stones. To examine the submandibular gland, the panoramic or occlusal photograph can be useful to see the gland ducts. Dental panoramic photograph show both areas of submandibular gland and parotid glands, but the definitive diagnosis usually requires more specific examination. Ultrasonography is a simple method that can indicate a sialolith with high accuracy. But sialolith that are smaller than 3 mm can not be detected with ultrasound.</w:t>
      </w:r>
      <w:r w:rsidR="00BE0434" w:rsidRPr="00BE0434">
        <w:rPr>
          <w:rFonts w:ascii="Trebuchet MS" w:hAnsi="Trebuchet MS" w:cs="Times New Roman"/>
          <w:sz w:val="20"/>
          <w:szCs w:val="20"/>
          <w:vertAlign w:val="superscript"/>
        </w:rPr>
        <w:t>6</w:t>
      </w:r>
    </w:p>
    <w:p w:rsidR="00BE0434" w:rsidRDefault="00BE0434" w:rsidP="007D014C">
      <w:pPr>
        <w:spacing w:after="0" w:line="480" w:lineRule="auto"/>
        <w:jc w:val="both"/>
        <w:rPr>
          <w:rFonts w:ascii="Trebuchet MS" w:hAnsi="Trebuchet MS" w:cs="Times New Roman"/>
          <w:sz w:val="20"/>
          <w:szCs w:val="20"/>
          <w:vertAlign w:val="superscript"/>
        </w:rPr>
      </w:pPr>
      <w:r>
        <w:rPr>
          <w:rFonts w:ascii="Trebuchet MS" w:hAnsi="Trebuchet MS" w:cs="Times New Roman"/>
          <w:sz w:val="20"/>
          <w:szCs w:val="20"/>
        </w:rPr>
        <w:tab/>
        <w:t>There are several technique used for sialolith stone removal, which depends on the duration of symptoms, number of reccurent episodes, the size of the stone, and perhaps most importantly the location of the stone. Small sialolith, located near the peripheral ducts can be removed by manipulation (called flushing gland). Large sialolith are removed by surgery. Sometimes, the stone that is not affected can be extracted through the duct intubation using a soft plastic catheter and the application of sucion to the tube. Multiple stones in the salivary gland requires the removal of the gland itself.</w:t>
      </w:r>
      <w:r w:rsidRPr="00BE0434">
        <w:rPr>
          <w:rFonts w:ascii="Trebuchet MS" w:hAnsi="Trebuchet MS" w:cs="Times New Roman"/>
          <w:sz w:val="20"/>
          <w:szCs w:val="20"/>
          <w:vertAlign w:val="superscript"/>
        </w:rPr>
        <w:t>3,5,9</w:t>
      </w:r>
    </w:p>
    <w:p w:rsidR="00BE0434" w:rsidRDefault="00BE0434" w:rsidP="00BE0434">
      <w:pPr>
        <w:spacing w:after="0" w:line="480" w:lineRule="auto"/>
        <w:ind w:firstLine="720"/>
        <w:jc w:val="both"/>
        <w:rPr>
          <w:rFonts w:ascii="Trebuchet MS" w:hAnsi="Trebuchet MS" w:cs="Minion Pro"/>
          <w:bCs/>
          <w:color w:val="000000"/>
          <w:sz w:val="20"/>
          <w:szCs w:val="20"/>
          <w:vertAlign w:val="superscript"/>
        </w:rPr>
      </w:pPr>
      <w:r w:rsidRPr="00BE0434">
        <w:rPr>
          <w:rFonts w:ascii="Trebuchet MS" w:hAnsi="Trebuchet MS" w:cs="MinionPro"/>
          <w:color w:val="000000"/>
          <w:sz w:val="20"/>
          <w:szCs w:val="20"/>
        </w:rPr>
        <w:t>Almost half of the submandibular gland stones is located in the distal third of the submandibular duct and a simple surgery through an incision can be done at the floor of the mouth, which is</w:t>
      </w:r>
      <w:r>
        <w:rPr>
          <w:rFonts w:ascii="Trebuchet MS" w:hAnsi="Trebuchet MS" w:cs="MinionPro"/>
          <w:color w:val="000000"/>
          <w:sz w:val="20"/>
          <w:szCs w:val="20"/>
        </w:rPr>
        <w:t xml:space="preserve"> </w:t>
      </w:r>
      <w:r w:rsidRPr="00BE0434">
        <w:rPr>
          <w:rFonts w:ascii="Trebuchet MS" w:hAnsi="Trebuchet MS" w:cs="MinionPro"/>
          <w:color w:val="000000"/>
          <w:sz w:val="20"/>
          <w:szCs w:val="20"/>
        </w:rPr>
        <w:t>simple and usually not associated with complications. If the salivary stone</w:t>
      </w:r>
      <w:r>
        <w:rPr>
          <w:rFonts w:ascii="Trebuchet MS" w:hAnsi="Trebuchet MS" w:cs="MinionPro"/>
          <w:color w:val="000000"/>
          <w:sz w:val="20"/>
          <w:szCs w:val="20"/>
        </w:rPr>
        <w:t xml:space="preserve"> </w:t>
      </w:r>
      <w:r w:rsidRPr="00BE0434">
        <w:rPr>
          <w:rFonts w:ascii="Trebuchet MS" w:hAnsi="Trebuchet MS" w:cs="MinionPro"/>
          <w:color w:val="000000"/>
          <w:sz w:val="20"/>
          <w:szCs w:val="20"/>
        </w:rPr>
        <w:t>is located anterior enough, the stone can be massaged and manipulated through the duct hole with probe lacrimal guidance and a dilator to open the duct. Once open, the stone can be identified and removed. The glands are then massaged to remove other debris in the posterior part of the duct.The opening of the duct is required to remove the stone. It involves a transoral approach where the incision is made directly into the stone location. Through this approach, a more posterior stone/stones can be removed by cutting directly on the longitudinal axis of the duct. The wound closure was not done for the purpose of drainage.</w:t>
      </w:r>
      <w:r w:rsidR="00A12C5E">
        <w:rPr>
          <w:rFonts w:ascii="Trebuchet MS" w:hAnsi="Trebuchet MS" w:cs="MinionPro"/>
          <w:color w:val="000000"/>
          <w:sz w:val="20"/>
          <w:szCs w:val="20"/>
        </w:rPr>
        <w:t xml:space="preserve"> </w:t>
      </w:r>
      <w:r w:rsidRPr="00BE0434">
        <w:rPr>
          <w:rFonts w:ascii="Trebuchet MS" w:hAnsi="Trebuchet MS" w:cs="MinionPro"/>
          <w:color w:val="000000"/>
          <w:sz w:val="20"/>
          <w:szCs w:val="20"/>
        </w:rPr>
        <w:t>If the gland has been damaged by recurrent infection and fibrosis or if stone been has formed in the salivary gland, then it requires the removal of the salivary gland itself.</w:t>
      </w:r>
      <w:r w:rsidRPr="00BE0434">
        <w:rPr>
          <w:rFonts w:ascii="Trebuchet MS" w:hAnsi="Trebuchet MS" w:cs="Minion Pro"/>
          <w:bCs/>
          <w:color w:val="000000"/>
          <w:sz w:val="20"/>
          <w:szCs w:val="20"/>
          <w:vertAlign w:val="superscript"/>
        </w:rPr>
        <w:t>2,6</w:t>
      </w:r>
      <w:r w:rsidRPr="00BE0434">
        <w:rPr>
          <w:rFonts w:ascii="Trebuchet MS" w:hAnsi="Trebuchet MS" w:cs="Minion Pro"/>
          <w:b/>
          <w:bCs/>
          <w:color w:val="000000"/>
          <w:sz w:val="20"/>
          <w:szCs w:val="20"/>
        </w:rPr>
        <w:t xml:space="preserve"> </w:t>
      </w:r>
      <w:r w:rsidRPr="00BE0434">
        <w:rPr>
          <w:rFonts w:ascii="Trebuchet MS" w:hAnsi="Trebuchet MS" w:cs="MinionPro"/>
          <w:color w:val="000000"/>
          <w:sz w:val="20"/>
          <w:szCs w:val="20"/>
        </w:rPr>
        <w:t>Complications that may occur are scar tissue, facial nerve paralysis, or paresthesia of the lingual.</w:t>
      </w:r>
      <w:r w:rsidRPr="00BE0434">
        <w:rPr>
          <w:rFonts w:ascii="Trebuchet MS" w:hAnsi="Trebuchet MS" w:cs="Minion Pro"/>
          <w:bCs/>
          <w:color w:val="000000"/>
          <w:sz w:val="20"/>
          <w:szCs w:val="20"/>
          <w:vertAlign w:val="superscript"/>
        </w:rPr>
        <w:t>6</w:t>
      </w:r>
    </w:p>
    <w:p w:rsidR="00BE0434" w:rsidRDefault="00BE0434" w:rsidP="00BE0434">
      <w:pPr>
        <w:spacing w:after="0" w:line="480" w:lineRule="auto"/>
        <w:ind w:firstLine="720"/>
        <w:jc w:val="both"/>
        <w:rPr>
          <w:rFonts w:ascii="Trebuchet MS" w:hAnsi="Trebuchet MS" w:cs="Minion Pro"/>
          <w:bCs/>
          <w:color w:val="000000"/>
          <w:sz w:val="20"/>
          <w:szCs w:val="20"/>
          <w:vertAlign w:val="superscript"/>
        </w:rPr>
      </w:pPr>
    </w:p>
    <w:p w:rsidR="00BE0434" w:rsidRDefault="00EC4D40" w:rsidP="00BE0434">
      <w:pPr>
        <w:spacing w:after="0" w:line="480" w:lineRule="auto"/>
        <w:jc w:val="both"/>
        <w:rPr>
          <w:rFonts w:ascii="Trebuchet MS" w:hAnsi="Trebuchet MS" w:cs="Minion Pro"/>
          <w:b/>
          <w:bCs/>
          <w:color w:val="000000"/>
          <w:sz w:val="20"/>
          <w:szCs w:val="20"/>
        </w:rPr>
      </w:pPr>
      <w:r>
        <w:rPr>
          <w:rFonts w:ascii="Trebuchet MS" w:hAnsi="Trebuchet MS" w:cs="Minion Pro"/>
          <w:b/>
          <w:bCs/>
          <w:color w:val="000000"/>
          <w:sz w:val="20"/>
          <w:szCs w:val="20"/>
        </w:rPr>
        <w:t>Conc</w:t>
      </w:r>
      <w:r w:rsidR="00BE0434" w:rsidRPr="00BE0434">
        <w:rPr>
          <w:rFonts w:ascii="Trebuchet MS" w:hAnsi="Trebuchet MS" w:cs="Minion Pro"/>
          <w:b/>
          <w:bCs/>
          <w:color w:val="000000"/>
          <w:sz w:val="20"/>
          <w:szCs w:val="20"/>
        </w:rPr>
        <w:t>lusion</w:t>
      </w:r>
    </w:p>
    <w:p w:rsidR="00BE0434" w:rsidRDefault="00700A01" w:rsidP="00BE0434">
      <w:pPr>
        <w:spacing w:after="0" w:line="480" w:lineRule="auto"/>
        <w:ind w:firstLine="720"/>
        <w:jc w:val="both"/>
        <w:rPr>
          <w:rFonts w:ascii="Trebuchet MS" w:hAnsi="Trebuchet MS" w:cs="MinionPro"/>
          <w:color w:val="000000"/>
          <w:sz w:val="20"/>
          <w:szCs w:val="20"/>
        </w:rPr>
      </w:pPr>
      <w:r>
        <w:rPr>
          <w:rFonts w:ascii="Trebuchet MS" w:hAnsi="Trebuchet MS" w:cs="MinionPro"/>
          <w:color w:val="000000"/>
          <w:sz w:val="20"/>
          <w:szCs w:val="20"/>
        </w:rPr>
        <w:t>T</w:t>
      </w:r>
      <w:r w:rsidR="00BE0434" w:rsidRPr="00BE0434">
        <w:rPr>
          <w:rFonts w:ascii="Trebuchet MS" w:hAnsi="Trebuchet MS" w:cs="MinionPro"/>
          <w:color w:val="000000"/>
          <w:sz w:val="20"/>
          <w:szCs w:val="20"/>
        </w:rPr>
        <w:t>he prevalence of multiple sialolith in the submandibul</w:t>
      </w:r>
      <w:r w:rsidR="00BE0434">
        <w:rPr>
          <w:rFonts w:ascii="Trebuchet MS" w:hAnsi="Trebuchet MS" w:cs="MinionPro"/>
          <w:color w:val="000000"/>
          <w:sz w:val="20"/>
          <w:szCs w:val="20"/>
        </w:rPr>
        <w:t>ar gland is rare. Clinical mani</w:t>
      </w:r>
      <w:r w:rsidR="00BE0434" w:rsidRPr="00BE0434">
        <w:rPr>
          <w:rFonts w:ascii="Trebuchet MS" w:hAnsi="Trebuchet MS" w:cs="MinionPro"/>
          <w:color w:val="000000"/>
          <w:sz w:val="20"/>
          <w:szCs w:val="20"/>
        </w:rPr>
        <w:t>festations of submandibular stones can be</w:t>
      </w:r>
      <w:r w:rsidR="00BE0434">
        <w:rPr>
          <w:rFonts w:ascii="Trebuchet MS" w:hAnsi="Trebuchet MS" w:cs="MinionPro"/>
          <w:color w:val="000000"/>
          <w:sz w:val="20"/>
          <w:szCs w:val="20"/>
        </w:rPr>
        <w:t xml:space="preserve"> </w:t>
      </w:r>
      <w:r w:rsidR="00BE0434" w:rsidRPr="00BE0434">
        <w:rPr>
          <w:rFonts w:ascii="Trebuchet MS" w:hAnsi="Trebuchet MS" w:cs="MinionPro"/>
          <w:color w:val="000000"/>
          <w:sz w:val="20"/>
          <w:szCs w:val="20"/>
        </w:rPr>
        <w:t>clearly noticed at the me</w:t>
      </w:r>
      <w:r w:rsidR="00BE0434">
        <w:rPr>
          <w:rFonts w:ascii="Trebuchet MS" w:hAnsi="Trebuchet MS" w:cs="MinionPro"/>
          <w:color w:val="000000"/>
          <w:sz w:val="20"/>
          <w:szCs w:val="20"/>
        </w:rPr>
        <w:t>al time, when the saliva produc</w:t>
      </w:r>
      <w:r w:rsidR="00BE0434" w:rsidRPr="00BE0434">
        <w:rPr>
          <w:rFonts w:ascii="Trebuchet MS" w:hAnsi="Trebuchet MS" w:cs="MinionPro"/>
          <w:color w:val="000000"/>
          <w:sz w:val="20"/>
          <w:szCs w:val="20"/>
        </w:rPr>
        <w:t>tion increases, which causes</w:t>
      </w:r>
      <w:r w:rsidR="00BE0434">
        <w:rPr>
          <w:rFonts w:ascii="Trebuchet MS" w:hAnsi="Trebuchet MS" w:cs="MinionPro"/>
          <w:color w:val="000000"/>
          <w:sz w:val="20"/>
          <w:szCs w:val="20"/>
        </w:rPr>
        <w:t xml:space="preserve"> </w:t>
      </w:r>
      <w:r w:rsidR="00BE0434" w:rsidRPr="00BE0434">
        <w:rPr>
          <w:rFonts w:ascii="Trebuchet MS" w:hAnsi="Trebuchet MS" w:cs="MinionPro"/>
          <w:color w:val="000000"/>
          <w:sz w:val="20"/>
          <w:szCs w:val="20"/>
        </w:rPr>
        <w:t>a sudden swelling and is usually very painful. There are several methods of management that are used in the removal</w:t>
      </w:r>
      <w:r w:rsidR="00BE0434">
        <w:rPr>
          <w:rFonts w:ascii="Trebuchet MS" w:hAnsi="Trebuchet MS" w:cs="MinionPro"/>
          <w:color w:val="000000"/>
          <w:sz w:val="20"/>
          <w:szCs w:val="20"/>
        </w:rPr>
        <w:t xml:space="preserve"> </w:t>
      </w:r>
      <w:r w:rsidR="00BE0434" w:rsidRPr="00BE0434">
        <w:rPr>
          <w:rFonts w:ascii="Trebuchet MS" w:hAnsi="Trebuchet MS" w:cs="MinionPro"/>
          <w:color w:val="000000"/>
          <w:sz w:val="20"/>
          <w:szCs w:val="20"/>
        </w:rPr>
        <w:t>the salivary gland stones. Handling of the submandibular g</w:t>
      </w:r>
      <w:r w:rsidR="00BE0434">
        <w:rPr>
          <w:rFonts w:ascii="Trebuchet MS" w:hAnsi="Trebuchet MS" w:cs="MinionPro"/>
          <w:color w:val="000000"/>
          <w:sz w:val="20"/>
          <w:szCs w:val="20"/>
        </w:rPr>
        <w:t>land stones depends on the dura</w:t>
      </w:r>
      <w:r w:rsidR="00BE0434" w:rsidRPr="00BE0434">
        <w:rPr>
          <w:rFonts w:ascii="Trebuchet MS" w:hAnsi="Trebuchet MS" w:cs="MinionPro"/>
          <w:color w:val="000000"/>
          <w:sz w:val="20"/>
          <w:szCs w:val="20"/>
        </w:rPr>
        <w:t>tion of symptoms, number of recurrent episodes, stone size and location of the stone. In this case, the removal of the submandibular gland is still the best option in the management of multiple sialolith and can avoid possible recurrences.</w:t>
      </w:r>
    </w:p>
    <w:p w:rsidR="00BE0434" w:rsidRDefault="00BE0434" w:rsidP="00BE0434">
      <w:pPr>
        <w:spacing w:after="0" w:line="480" w:lineRule="auto"/>
        <w:jc w:val="both"/>
        <w:rPr>
          <w:rFonts w:ascii="Trebuchet MS" w:hAnsi="Trebuchet MS" w:cs="MinionPro"/>
          <w:color w:val="000000"/>
          <w:sz w:val="20"/>
          <w:szCs w:val="20"/>
        </w:rPr>
      </w:pPr>
    </w:p>
    <w:p w:rsidR="00BE0434" w:rsidRPr="00BE0434" w:rsidRDefault="00BE0434" w:rsidP="00BE0434">
      <w:pPr>
        <w:autoSpaceDE w:val="0"/>
        <w:autoSpaceDN w:val="0"/>
        <w:adjustRightInd w:val="0"/>
        <w:spacing w:after="0" w:line="480" w:lineRule="auto"/>
        <w:rPr>
          <w:rFonts w:ascii="Trebuchet MS" w:hAnsi="Trebuchet MS"/>
          <w:sz w:val="20"/>
          <w:szCs w:val="20"/>
        </w:rPr>
      </w:pPr>
      <w:r w:rsidRPr="00BE0434">
        <w:rPr>
          <w:rFonts w:ascii="Trebuchet MS" w:hAnsi="Trebuchet MS"/>
          <w:b/>
          <w:sz w:val="20"/>
          <w:szCs w:val="20"/>
        </w:rPr>
        <w:t>Acknowledgment</w:t>
      </w:r>
    </w:p>
    <w:p w:rsidR="00BE0434" w:rsidRDefault="00BE0434" w:rsidP="00185D5C">
      <w:pPr>
        <w:autoSpaceDE w:val="0"/>
        <w:autoSpaceDN w:val="0"/>
        <w:adjustRightInd w:val="0"/>
        <w:spacing w:after="0" w:line="480" w:lineRule="auto"/>
        <w:ind w:firstLine="720"/>
        <w:rPr>
          <w:rFonts w:ascii="Trebuchet MS" w:hAnsi="Trebuchet MS"/>
          <w:iCs/>
          <w:sz w:val="20"/>
          <w:szCs w:val="20"/>
        </w:rPr>
      </w:pPr>
      <w:r w:rsidRPr="00BE0434">
        <w:rPr>
          <w:rFonts w:ascii="Trebuchet MS" w:hAnsi="Trebuchet MS"/>
          <w:iCs/>
          <w:sz w:val="20"/>
          <w:szCs w:val="20"/>
        </w:rPr>
        <w:t>The authors would like to acknowledge Endang Sjamsudin and Melita Sylvyana for their participation in taking of the case.</w:t>
      </w:r>
    </w:p>
    <w:p w:rsidR="00185D5C" w:rsidRDefault="00185D5C" w:rsidP="00185D5C">
      <w:pPr>
        <w:spacing w:after="0" w:line="480" w:lineRule="auto"/>
        <w:jc w:val="both"/>
        <w:rPr>
          <w:rFonts w:ascii="Trebuchet MS" w:hAnsi="Trebuchet MS"/>
          <w:iCs/>
          <w:sz w:val="20"/>
          <w:szCs w:val="20"/>
        </w:rPr>
      </w:pPr>
    </w:p>
    <w:p w:rsidR="007D014C" w:rsidRDefault="007D014C" w:rsidP="00185D5C">
      <w:pPr>
        <w:spacing w:after="0" w:line="480" w:lineRule="auto"/>
        <w:jc w:val="both"/>
        <w:rPr>
          <w:rFonts w:ascii="Trebuchet MS" w:hAnsi="Trebuchet MS" w:cs="Times New Roman"/>
          <w:b/>
          <w:sz w:val="20"/>
          <w:szCs w:val="20"/>
        </w:rPr>
      </w:pPr>
      <w:r>
        <w:rPr>
          <w:rFonts w:ascii="Trebuchet MS" w:hAnsi="Trebuchet MS" w:cs="Times New Roman"/>
          <w:b/>
          <w:sz w:val="20"/>
          <w:szCs w:val="20"/>
        </w:rPr>
        <w:t>References</w:t>
      </w:r>
    </w:p>
    <w:p w:rsidR="007D014C" w:rsidRDefault="007D014C"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Sunder VS, Chakravarthy C, Mikkilinine R, et al. Multiple bilateral submandibular gland sialolithiasis. Niger J Clin Pract 2014;17: 115-118.</w:t>
      </w:r>
    </w:p>
    <w:p w:rsidR="007D014C" w:rsidRDefault="007D014C"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Siddiqui SJ. Sialolithiasi</w:t>
      </w:r>
      <w:r w:rsidR="001377E2">
        <w:rPr>
          <w:rFonts w:ascii="Trebuchet MS" w:hAnsi="Trebuchet MS" w:cs="Times New Roman"/>
          <w:sz w:val="20"/>
          <w:szCs w:val="20"/>
        </w:rPr>
        <w:t>s</w:t>
      </w:r>
      <w:r>
        <w:rPr>
          <w:rFonts w:ascii="Trebuchet MS" w:hAnsi="Trebuchet MS" w:cs="Times New Roman"/>
          <w:sz w:val="20"/>
          <w:szCs w:val="20"/>
        </w:rPr>
        <w:t>: an unusually large submandibul</w:t>
      </w:r>
      <w:r w:rsidR="008C34A0">
        <w:rPr>
          <w:rFonts w:ascii="Trebuchet MS" w:hAnsi="Trebuchet MS" w:cs="Times New Roman"/>
          <w:sz w:val="20"/>
          <w:szCs w:val="20"/>
        </w:rPr>
        <w:t>ar salivary stone. Br Dent J 201</w:t>
      </w:r>
      <w:r>
        <w:rPr>
          <w:rFonts w:ascii="Trebuchet MS" w:hAnsi="Trebuchet MS" w:cs="Times New Roman"/>
          <w:sz w:val="20"/>
          <w:szCs w:val="20"/>
        </w:rPr>
        <w:t>2; 193: 89-91.</w:t>
      </w:r>
    </w:p>
    <w:p w:rsidR="007D014C" w:rsidRDefault="007D014C"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Mouli C, Kumar SM, Kailasam S, et al. Sialolith: a case report with review of literature. Indian J Multidiscip Dent 2011;1: 377-379.</w:t>
      </w:r>
    </w:p>
    <w:p w:rsidR="00F42482" w:rsidRDefault="00F42482"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Grasesa F, Santiagob C, Simoneta BM, et al. Sialolithiasis: mechanism of calculi formation and etiologic factors. Clin Chim Acta 2013;334: 131-136.</w:t>
      </w:r>
    </w:p>
    <w:p w:rsidR="001377E2" w:rsidRDefault="001377E2"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James RH, Edward El,Myron RT. Contemporary oral and maxillofacial surgery. 6</w:t>
      </w:r>
      <w:r w:rsidRPr="001377E2">
        <w:rPr>
          <w:rFonts w:ascii="Trebuchet MS" w:hAnsi="Trebuchet MS" w:cs="Times New Roman"/>
          <w:sz w:val="20"/>
          <w:szCs w:val="20"/>
          <w:vertAlign w:val="superscript"/>
        </w:rPr>
        <w:t>th</w:t>
      </w:r>
      <w:r>
        <w:rPr>
          <w:rFonts w:ascii="Trebuchet MS" w:hAnsi="Trebuchet MS" w:cs="Times New Roman"/>
          <w:sz w:val="20"/>
          <w:szCs w:val="20"/>
        </w:rPr>
        <w:t xml:space="preserve"> ed. Elsevier Mosby; 2014. P. 405-408</w:t>
      </w:r>
    </w:p>
    <w:p w:rsidR="001377E2" w:rsidRDefault="001377E2"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Moore UJ. Principles of oral and maxillofacial surgery. 6</w:t>
      </w:r>
      <w:r w:rsidRPr="001377E2">
        <w:rPr>
          <w:rFonts w:ascii="Trebuchet MS" w:hAnsi="Trebuchet MS" w:cs="Times New Roman"/>
          <w:sz w:val="20"/>
          <w:szCs w:val="20"/>
          <w:vertAlign w:val="superscript"/>
        </w:rPr>
        <w:t>th</w:t>
      </w:r>
      <w:r>
        <w:rPr>
          <w:rFonts w:ascii="Trebuchet MS" w:hAnsi="Trebuchet MS" w:cs="Times New Roman"/>
          <w:sz w:val="20"/>
          <w:szCs w:val="20"/>
        </w:rPr>
        <w:t xml:space="preserve"> ed. Blackwell Publishing Ltd; 2011.p. 306-308.</w:t>
      </w:r>
    </w:p>
    <w:p w:rsidR="001377E2" w:rsidRDefault="001377E2"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Dalkiz M, Dogan N. Beydemir B, Sialolithiasis (salivary stone). Turk J Med Sci 2011; 31 : 177-179.</w:t>
      </w:r>
    </w:p>
    <w:p w:rsidR="00E41099" w:rsidRDefault="00E41099" w:rsidP="007D014C">
      <w:pPr>
        <w:pStyle w:val="ListParagraph"/>
        <w:numPr>
          <w:ilvl w:val="0"/>
          <w:numId w:val="17"/>
        </w:numPr>
        <w:spacing w:after="0" w:line="480" w:lineRule="auto"/>
        <w:jc w:val="both"/>
        <w:rPr>
          <w:rFonts w:ascii="Trebuchet MS" w:hAnsi="Trebuchet MS" w:cs="Times New Roman"/>
          <w:sz w:val="20"/>
          <w:szCs w:val="20"/>
        </w:rPr>
      </w:pPr>
      <w:r>
        <w:rPr>
          <w:rFonts w:ascii="Trebuchet MS" w:hAnsi="Trebuchet MS" w:cs="Times New Roman"/>
          <w:sz w:val="20"/>
          <w:szCs w:val="20"/>
        </w:rPr>
        <w:t>Levy BM, ReMIne WH, Devine KD (2010) Salivary gland calculi: Pain, swelling associated with eating. JAMA 181: 1115-1119.</w:t>
      </w:r>
    </w:p>
    <w:p w:rsidR="00E41099" w:rsidRDefault="00E41099" w:rsidP="00E41099">
      <w:pPr>
        <w:pStyle w:val="ListParagraph"/>
        <w:numPr>
          <w:ilvl w:val="0"/>
          <w:numId w:val="17"/>
        </w:numPr>
        <w:autoSpaceDE w:val="0"/>
        <w:autoSpaceDN w:val="0"/>
        <w:adjustRightInd w:val="0"/>
        <w:spacing w:after="0" w:line="480" w:lineRule="auto"/>
        <w:rPr>
          <w:rFonts w:ascii="Trebuchet MS" w:hAnsi="Trebuchet MS" w:cs="Cambria"/>
          <w:color w:val="000000"/>
          <w:sz w:val="20"/>
          <w:szCs w:val="20"/>
        </w:rPr>
      </w:pPr>
      <w:r w:rsidRPr="00E41099">
        <w:rPr>
          <w:rFonts w:ascii="Trebuchet MS" w:hAnsi="Trebuchet MS" w:cs="Cambria"/>
          <w:color w:val="000000"/>
          <w:sz w:val="20"/>
          <w:szCs w:val="20"/>
        </w:rPr>
        <w:t>Katz P, Fritsch MH (2003) Salivary stones: Innovative techniques in di</w:t>
      </w:r>
      <w:r w:rsidRPr="00E41099">
        <w:rPr>
          <w:rFonts w:ascii="Trebuchet MS" w:hAnsi="Trebuchet MS" w:cs="Cambria"/>
          <w:color w:val="000000"/>
          <w:sz w:val="20"/>
          <w:szCs w:val="20"/>
        </w:rPr>
        <w:softHyphen/>
        <w:t xml:space="preserve">agnosis and treatment. Curr Opin Otolaryngol Head Neck Surg 11(3): 173-178. </w:t>
      </w:r>
    </w:p>
    <w:p w:rsidR="00E41099" w:rsidRDefault="00E41099" w:rsidP="00E41099">
      <w:pPr>
        <w:pStyle w:val="ListParagraph"/>
        <w:numPr>
          <w:ilvl w:val="0"/>
          <w:numId w:val="17"/>
        </w:numPr>
        <w:autoSpaceDE w:val="0"/>
        <w:autoSpaceDN w:val="0"/>
        <w:adjustRightInd w:val="0"/>
        <w:spacing w:after="0" w:line="480" w:lineRule="auto"/>
        <w:jc w:val="both"/>
        <w:rPr>
          <w:rFonts w:ascii="Trebuchet MS" w:hAnsi="Trebuchet MS" w:cs="Cambria"/>
          <w:color w:val="000000"/>
          <w:sz w:val="20"/>
          <w:szCs w:val="20"/>
        </w:rPr>
      </w:pPr>
      <w:r w:rsidRPr="00E41099">
        <w:rPr>
          <w:rFonts w:ascii="Trebuchet MS" w:hAnsi="Trebuchet MS" w:cs="Cambria"/>
          <w:color w:val="000000"/>
          <w:sz w:val="20"/>
          <w:szCs w:val="20"/>
        </w:rPr>
        <w:t xml:space="preserve">Massouh H, Dunscombe P (1982) Panoramic Sialography: An alternative technique. Br J Radiol 55(658): 735-739. </w:t>
      </w:r>
    </w:p>
    <w:p w:rsidR="00217D6C" w:rsidRPr="00FD58C5" w:rsidRDefault="00FD58C5" w:rsidP="00E41099">
      <w:pPr>
        <w:pStyle w:val="ListParagraph"/>
        <w:numPr>
          <w:ilvl w:val="0"/>
          <w:numId w:val="17"/>
        </w:numPr>
        <w:autoSpaceDE w:val="0"/>
        <w:autoSpaceDN w:val="0"/>
        <w:adjustRightInd w:val="0"/>
        <w:spacing w:after="0" w:line="480" w:lineRule="auto"/>
        <w:jc w:val="both"/>
        <w:rPr>
          <w:rFonts w:ascii="Trebuchet MS" w:hAnsi="Trebuchet MS" w:cs="Cambria"/>
          <w:color w:val="000000"/>
          <w:sz w:val="20"/>
          <w:szCs w:val="20"/>
        </w:rPr>
      </w:pPr>
      <w:r w:rsidRPr="00FD58C5">
        <w:rPr>
          <w:rFonts w:ascii="Trebuchet MS" w:hAnsi="Trebuchet MS" w:cs="Frutiger LT Std 45 Light"/>
          <w:color w:val="000000"/>
          <w:sz w:val="20"/>
          <w:szCs w:val="20"/>
        </w:rPr>
        <w:t>Ben Lagha N, Alantar A, Samson J, Chapireau D, Maman L. Lithiasis of minor salivary glands: current data. Oral Surg Oral Med Oral Pathol Oral Radiol Endod. 2005;100(3):345-8.</w:t>
      </w:r>
    </w:p>
    <w:p w:rsidR="00217D6C" w:rsidRPr="00217D6C" w:rsidRDefault="00217D6C" w:rsidP="00E41099">
      <w:pPr>
        <w:pStyle w:val="ListParagraph"/>
        <w:numPr>
          <w:ilvl w:val="0"/>
          <w:numId w:val="17"/>
        </w:numPr>
        <w:autoSpaceDE w:val="0"/>
        <w:autoSpaceDN w:val="0"/>
        <w:adjustRightInd w:val="0"/>
        <w:spacing w:after="0" w:line="480" w:lineRule="auto"/>
        <w:jc w:val="both"/>
        <w:rPr>
          <w:rFonts w:ascii="Trebuchet MS" w:hAnsi="Trebuchet MS" w:cs="Cambria"/>
          <w:color w:val="000000"/>
          <w:sz w:val="20"/>
          <w:szCs w:val="20"/>
        </w:rPr>
      </w:pPr>
      <w:r w:rsidRPr="00217D6C">
        <w:rPr>
          <w:rFonts w:ascii="Trebuchet MS" w:hAnsi="Trebuchet MS" w:cs="Arial"/>
          <w:bCs/>
          <w:sz w:val="20"/>
          <w:szCs w:val="20"/>
          <w:lang w:val="id-ID"/>
        </w:rPr>
        <w:t xml:space="preserve">J. Choi, I.-K. Kim, N.-S. Oh (2002) </w:t>
      </w:r>
      <w:r w:rsidRPr="00217D6C">
        <w:rPr>
          <w:rFonts w:ascii="Trebuchet MS" w:hAnsi="Trebuchet MS" w:cs="Arial"/>
          <w:sz w:val="20"/>
          <w:szCs w:val="20"/>
          <w:lang w:val="id-ID"/>
        </w:rPr>
        <w:t>Multiple sialoliths in sublingual gland: Report of a case</w:t>
      </w:r>
      <w:r>
        <w:rPr>
          <w:rFonts w:ascii="Trebuchet MS" w:hAnsi="Trebuchet MS" w:cs="Arial"/>
          <w:sz w:val="20"/>
          <w:szCs w:val="20"/>
          <w:lang w:val="id-ID"/>
        </w:rPr>
        <w:t xml:space="preserve">. </w:t>
      </w:r>
      <w:r w:rsidRPr="00217D6C">
        <w:rPr>
          <w:rFonts w:ascii="Trebuchet MS" w:hAnsi="Trebuchet MS" w:cs="TimesNRMT-Italic"/>
          <w:iCs/>
          <w:sz w:val="20"/>
          <w:szCs w:val="20"/>
          <w:lang w:val="id-ID"/>
        </w:rPr>
        <w:t>Int. J. Oral Maxillofac. Surg. 2002; 31: 562–563</w:t>
      </w:r>
    </w:p>
    <w:p w:rsidR="00E41099" w:rsidRPr="00E41099" w:rsidRDefault="00E41099" w:rsidP="00E41099">
      <w:pPr>
        <w:pStyle w:val="ListParagraph"/>
        <w:autoSpaceDE w:val="0"/>
        <w:autoSpaceDN w:val="0"/>
        <w:adjustRightInd w:val="0"/>
        <w:spacing w:after="0" w:line="480" w:lineRule="auto"/>
        <w:rPr>
          <w:rFonts w:ascii="Trebuchet MS" w:hAnsi="Trebuchet MS" w:cs="Cambria"/>
          <w:color w:val="000000"/>
          <w:sz w:val="20"/>
          <w:szCs w:val="20"/>
        </w:rPr>
      </w:pPr>
    </w:p>
    <w:sectPr w:rsidR="00E41099" w:rsidRPr="00E41099" w:rsidSect="003D46DE">
      <w:footerReference w:type="default" r:id="rId2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0B3" w:rsidRDefault="00F120B3" w:rsidP="00AB3C64">
      <w:pPr>
        <w:spacing w:after="0" w:line="240" w:lineRule="auto"/>
      </w:pPr>
      <w:r>
        <w:separator/>
      </w:r>
    </w:p>
  </w:endnote>
  <w:endnote w:type="continuationSeparator" w:id="0">
    <w:p w:rsidR="00F120B3" w:rsidRDefault="00F120B3" w:rsidP="00AB3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Giovanni-Book">
    <w:panose1 w:val="00000000000000000000"/>
    <w:charset w:val="00"/>
    <w:family w:val="roman"/>
    <w:notTrueType/>
    <w:pitch w:val="default"/>
    <w:sig w:usb0="00000003" w:usb1="00000000" w:usb2="00000000" w:usb3="00000000" w:csb0="00000001" w:csb1="00000000"/>
  </w:font>
  <w:font w:name="TimesNRMT">
    <w:panose1 w:val="00000000000000000000"/>
    <w:charset w:val="00"/>
    <w:family w:val="roman"/>
    <w:notTrueType/>
    <w:pitch w:val="default"/>
    <w:sig w:usb0="00000003" w:usb1="00000000" w:usb2="00000000" w:usb3="00000000" w:csb0="00000001" w:csb1="00000000"/>
  </w:font>
  <w:font w:name="TimesNRExpertMT">
    <w:panose1 w:val="00000000000000000000"/>
    <w:charset w:val="00"/>
    <w:family w:val="auto"/>
    <w:notTrueType/>
    <w:pitch w:val="default"/>
    <w:sig w:usb0="00000003" w:usb1="00000000" w:usb2="00000000" w:usb3="00000000" w:csb0="00000001" w:csb1="00000000"/>
  </w:font>
  <w:font w:name="MinionPro">
    <w:altName w:val="MinionPro"/>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NRMT-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2454787"/>
      <w:docPartObj>
        <w:docPartGallery w:val="Page Numbers (Bottom of Page)"/>
        <w:docPartUnique/>
      </w:docPartObj>
    </w:sdtPr>
    <w:sdtEndPr>
      <w:rPr>
        <w:noProof/>
      </w:rPr>
    </w:sdtEndPr>
    <w:sdtContent>
      <w:p w:rsidR="00F12B6B" w:rsidRDefault="00F12B6B">
        <w:pPr>
          <w:pStyle w:val="Footer"/>
          <w:jc w:val="right"/>
        </w:pPr>
        <w:r>
          <w:fldChar w:fldCharType="begin"/>
        </w:r>
        <w:r>
          <w:instrText xml:space="preserve"> PAGE   \* MERGEFORMAT </w:instrText>
        </w:r>
        <w:r>
          <w:fldChar w:fldCharType="separate"/>
        </w:r>
        <w:r w:rsidR="00F120B3">
          <w:rPr>
            <w:noProof/>
          </w:rPr>
          <w:t>1</w:t>
        </w:r>
        <w:r>
          <w:rPr>
            <w:noProof/>
          </w:rPr>
          <w:fldChar w:fldCharType="end"/>
        </w:r>
      </w:p>
    </w:sdtContent>
  </w:sdt>
  <w:p w:rsidR="00863C9B" w:rsidRDefault="00863C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0B3" w:rsidRDefault="00F120B3" w:rsidP="00AB3C64">
      <w:pPr>
        <w:spacing w:after="0" w:line="240" w:lineRule="auto"/>
      </w:pPr>
      <w:r>
        <w:separator/>
      </w:r>
    </w:p>
  </w:footnote>
  <w:footnote w:type="continuationSeparator" w:id="0">
    <w:p w:rsidR="00F120B3" w:rsidRDefault="00F120B3" w:rsidP="00AB3C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B43"/>
    <w:multiLevelType w:val="hybridMultilevel"/>
    <w:tmpl w:val="0B7CF216"/>
    <w:lvl w:ilvl="0" w:tplc="D57EC20A">
      <w:start w:val="1"/>
      <w:numFmt w:val="upperLetter"/>
      <w:lvlText w:val="%1."/>
      <w:lvlJc w:val="left"/>
      <w:pPr>
        <w:tabs>
          <w:tab w:val="num" w:pos="1080"/>
        </w:tabs>
        <w:ind w:left="1080" w:hanging="360"/>
      </w:pPr>
      <w:rPr>
        <w:b w:val="0"/>
      </w:rPr>
    </w:lvl>
    <w:lvl w:ilvl="1" w:tplc="AB50C4CA">
      <w:start w:val="1"/>
      <w:numFmt w:val="decimal"/>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01652E97"/>
    <w:multiLevelType w:val="hybridMultilevel"/>
    <w:tmpl w:val="DA7C41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5BB6AE1"/>
    <w:multiLevelType w:val="hybridMultilevel"/>
    <w:tmpl w:val="CC1CCF68"/>
    <w:lvl w:ilvl="0" w:tplc="5972FAE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2914099"/>
    <w:multiLevelType w:val="hybridMultilevel"/>
    <w:tmpl w:val="0322A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9B631D"/>
    <w:multiLevelType w:val="hybridMultilevel"/>
    <w:tmpl w:val="2AFEDD84"/>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C46254E4">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D734FFC"/>
    <w:multiLevelType w:val="hybridMultilevel"/>
    <w:tmpl w:val="F294A96A"/>
    <w:lvl w:ilvl="0" w:tplc="EBC0CF3E">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36B5B3F"/>
    <w:multiLevelType w:val="hybridMultilevel"/>
    <w:tmpl w:val="3FBA2E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A1488"/>
    <w:multiLevelType w:val="hybridMultilevel"/>
    <w:tmpl w:val="769A649E"/>
    <w:lvl w:ilvl="0" w:tplc="F5BE44D0">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8" w15:restartNumberingAfterBreak="0">
    <w:nsid w:val="47F966B7"/>
    <w:multiLevelType w:val="hybridMultilevel"/>
    <w:tmpl w:val="C80E3FC4"/>
    <w:lvl w:ilvl="0" w:tplc="F1C6FF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6338B1"/>
    <w:multiLevelType w:val="hybridMultilevel"/>
    <w:tmpl w:val="5E1CEBB6"/>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start w:val="1"/>
      <w:numFmt w:val="bullet"/>
      <w:lvlText w:val=""/>
      <w:lvlJc w:val="left"/>
      <w:pPr>
        <w:tabs>
          <w:tab w:val="num" w:pos="3000"/>
        </w:tabs>
        <w:ind w:left="3000" w:hanging="360"/>
      </w:pPr>
      <w:rPr>
        <w:rFonts w:ascii="Wingdings" w:hAnsi="Wingdings" w:hint="default"/>
      </w:rPr>
    </w:lvl>
    <w:lvl w:ilvl="3" w:tplc="04090001">
      <w:start w:val="1"/>
      <w:numFmt w:val="bullet"/>
      <w:lvlText w:val=""/>
      <w:lvlJc w:val="left"/>
      <w:pPr>
        <w:tabs>
          <w:tab w:val="num" w:pos="3720"/>
        </w:tabs>
        <w:ind w:left="3720" w:hanging="360"/>
      </w:pPr>
      <w:rPr>
        <w:rFonts w:ascii="Symbol" w:hAnsi="Symbol" w:hint="default"/>
      </w:rPr>
    </w:lvl>
    <w:lvl w:ilvl="4" w:tplc="04090003">
      <w:start w:val="1"/>
      <w:numFmt w:val="bullet"/>
      <w:lvlText w:val="o"/>
      <w:lvlJc w:val="left"/>
      <w:pPr>
        <w:tabs>
          <w:tab w:val="num" w:pos="4440"/>
        </w:tabs>
        <w:ind w:left="4440" w:hanging="360"/>
      </w:pPr>
      <w:rPr>
        <w:rFonts w:ascii="Courier New" w:hAnsi="Courier New" w:cs="Courier New" w:hint="default"/>
      </w:rPr>
    </w:lvl>
    <w:lvl w:ilvl="5" w:tplc="04090005">
      <w:start w:val="1"/>
      <w:numFmt w:val="bullet"/>
      <w:lvlText w:val=""/>
      <w:lvlJc w:val="left"/>
      <w:pPr>
        <w:tabs>
          <w:tab w:val="num" w:pos="5160"/>
        </w:tabs>
        <w:ind w:left="5160" w:hanging="360"/>
      </w:pPr>
      <w:rPr>
        <w:rFonts w:ascii="Wingdings" w:hAnsi="Wingdings" w:hint="default"/>
      </w:rPr>
    </w:lvl>
    <w:lvl w:ilvl="6" w:tplc="04090001">
      <w:start w:val="1"/>
      <w:numFmt w:val="bullet"/>
      <w:lvlText w:val=""/>
      <w:lvlJc w:val="left"/>
      <w:pPr>
        <w:tabs>
          <w:tab w:val="num" w:pos="5880"/>
        </w:tabs>
        <w:ind w:left="5880" w:hanging="360"/>
      </w:pPr>
      <w:rPr>
        <w:rFonts w:ascii="Symbol" w:hAnsi="Symbol" w:hint="default"/>
      </w:rPr>
    </w:lvl>
    <w:lvl w:ilvl="7" w:tplc="04090003">
      <w:start w:val="1"/>
      <w:numFmt w:val="bullet"/>
      <w:lvlText w:val="o"/>
      <w:lvlJc w:val="left"/>
      <w:pPr>
        <w:tabs>
          <w:tab w:val="num" w:pos="6600"/>
        </w:tabs>
        <w:ind w:left="6600" w:hanging="360"/>
      </w:pPr>
      <w:rPr>
        <w:rFonts w:ascii="Courier New" w:hAnsi="Courier New" w:cs="Courier New" w:hint="default"/>
      </w:rPr>
    </w:lvl>
    <w:lvl w:ilvl="8" w:tplc="04090005">
      <w:start w:val="1"/>
      <w:numFmt w:val="bullet"/>
      <w:lvlText w:val=""/>
      <w:lvlJc w:val="left"/>
      <w:pPr>
        <w:tabs>
          <w:tab w:val="num" w:pos="7320"/>
        </w:tabs>
        <w:ind w:left="7320" w:hanging="360"/>
      </w:pPr>
      <w:rPr>
        <w:rFonts w:ascii="Wingdings" w:hAnsi="Wingdings" w:hint="default"/>
      </w:rPr>
    </w:lvl>
  </w:abstractNum>
  <w:abstractNum w:abstractNumId="10" w15:restartNumberingAfterBreak="0">
    <w:nsid w:val="53AA61CC"/>
    <w:multiLevelType w:val="hybridMultilevel"/>
    <w:tmpl w:val="9626B3A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58602ACD"/>
    <w:multiLevelType w:val="hybridMultilevel"/>
    <w:tmpl w:val="14D6B036"/>
    <w:lvl w:ilvl="0" w:tplc="F50459D8">
      <w:start w:val="1"/>
      <w:numFmt w:val="upperRoman"/>
      <w:lvlText w:val="%1."/>
      <w:lvlJc w:val="left"/>
      <w:pPr>
        <w:ind w:left="1080" w:hanging="72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6191371D"/>
    <w:multiLevelType w:val="hybridMultilevel"/>
    <w:tmpl w:val="B6CA1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C26DE8"/>
    <w:multiLevelType w:val="hybridMultilevel"/>
    <w:tmpl w:val="29A89BD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BA56B29"/>
    <w:multiLevelType w:val="hybridMultilevel"/>
    <w:tmpl w:val="A476E088"/>
    <w:lvl w:ilvl="0" w:tplc="C71061C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4"/>
  </w:num>
  <w:num w:numId="13">
    <w:abstractNumId w:val="0"/>
  </w:num>
  <w:num w:numId="14">
    <w:abstractNumId w:val="1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B29"/>
    <w:rsid w:val="000025F0"/>
    <w:rsid w:val="000412A6"/>
    <w:rsid w:val="00045394"/>
    <w:rsid w:val="0007144B"/>
    <w:rsid w:val="000742C6"/>
    <w:rsid w:val="00080602"/>
    <w:rsid w:val="00082B04"/>
    <w:rsid w:val="000A5891"/>
    <w:rsid w:val="000D1C40"/>
    <w:rsid w:val="0011087B"/>
    <w:rsid w:val="00113815"/>
    <w:rsid w:val="0012771D"/>
    <w:rsid w:val="00133798"/>
    <w:rsid w:val="001377E2"/>
    <w:rsid w:val="00175BEB"/>
    <w:rsid w:val="00183318"/>
    <w:rsid w:val="00183DEC"/>
    <w:rsid w:val="00185D5C"/>
    <w:rsid w:val="001E2C0E"/>
    <w:rsid w:val="001E5F54"/>
    <w:rsid w:val="00214374"/>
    <w:rsid w:val="00217D6C"/>
    <w:rsid w:val="00235BB4"/>
    <w:rsid w:val="00235DB6"/>
    <w:rsid w:val="002442D8"/>
    <w:rsid w:val="00251E65"/>
    <w:rsid w:val="00254CD4"/>
    <w:rsid w:val="00274FD4"/>
    <w:rsid w:val="002F7A8B"/>
    <w:rsid w:val="00305F8B"/>
    <w:rsid w:val="00320708"/>
    <w:rsid w:val="00336B25"/>
    <w:rsid w:val="003420AF"/>
    <w:rsid w:val="003459DF"/>
    <w:rsid w:val="003462AE"/>
    <w:rsid w:val="00370113"/>
    <w:rsid w:val="00392506"/>
    <w:rsid w:val="00393361"/>
    <w:rsid w:val="003B7BC3"/>
    <w:rsid w:val="003C24B6"/>
    <w:rsid w:val="003C7927"/>
    <w:rsid w:val="003D46DE"/>
    <w:rsid w:val="00404457"/>
    <w:rsid w:val="00410EDD"/>
    <w:rsid w:val="004251B6"/>
    <w:rsid w:val="0043335F"/>
    <w:rsid w:val="004553E4"/>
    <w:rsid w:val="00476394"/>
    <w:rsid w:val="0047771E"/>
    <w:rsid w:val="00491509"/>
    <w:rsid w:val="00492CB7"/>
    <w:rsid w:val="0049480E"/>
    <w:rsid w:val="00495270"/>
    <w:rsid w:val="004A022D"/>
    <w:rsid w:val="004B5DFD"/>
    <w:rsid w:val="004F2BCA"/>
    <w:rsid w:val="00500614"/>
    <w:rsid w:val="005021B0"/>
    <w:rsid w:val="0050725D"/>
    <w:rsid w:val="00527BD0"/>
    <w:rsid w:val="0055589A"/>
    <w:rsid w:val="00555AF2"/>
    <w:rsid w:val="005B008F"/>
    <w:rsid w:val="005B0BFF"/>
    <w:rsid w:val="005B4A0E"/>
    <w:rsid w:val="005B51D9"/>
    <w:rsid w:val="005C08A7"/>
    <w:rsid w:val="005F0335"/>
    <w:rsid w:val="005F05ED"/>
    <w:rsid w:val="005F3B29"/>
    <w:rsid w:val="005F7D8B"/>
    <w:rsid w:val="00614FB6"/>
    <w:rsid w:val="006165C3"/>
    <w:rsid w:val="00647C0E"/>
    <w:rsid w:val="00677921"/>
    <w:rsid w:val="00691556"/>
    <w:rsid w:val="006B76BC"/>
    <w:rsid w:val="006D1306"/>
    <w:rsid w:val="006D42C0"/>
    <w:rsid w:val="006E5AA6"/>
    <w:rsid w:val="00700A01"/>
    <w:rsid w:val="007252C0"/>
    <w:rsid w:val="00725864"/>
    <w:rsid w:val="0077469C"/>
    <w:rsid w:val="00796EC4"/>
    <w:rsid w:val="007D014C"/>
    <w:rsid w:val="007E57B5"/>
    <w:rsid w:val="00812643"/>
    <w:rsid w:val="00845294"/>
    <w:rsid w:val="00862CF9"/>
    <w:rsid w:val="00863C9B"/>
    <w:rsid w:val="00887192"/>
    <w:rsid w:val="008B7730"/>
    <w:rsid w:val="008C34A0"/>
    <w:rsid w:val="008C3775"/>
    <w:rsid w:val="008D14E3"/>
    <w:rsid w:val="0090105D"/>
    <w:rsid w:val="00932212"/>
    <w:rsid w:val="00946EE4"/>
    <w:rsid w:val="00953B78"/>
    <w:rsid w:val="00955CBB"/>
    <w:rsid w:val="009575FB"/>
    <w:rsid w:val="00967C8C"/>
    <w:rsid w:val="00972626"/>
    <w:rsid w:val="00973AF3"/>
    <w:rsid w:val="00975690"/>
    <w:rsid w:val="00987009"/>
    <w:rsid w:val="009A4DD1"/>
    <w:rsid w:val="009A60E0"/>
    <w:rsid w:val="009B637B"/>
    <w:rsid w:val="009D633E"/>
    <w:rsid w:val="009E58AD"/>
    <w:rsid w:val="00A1270A"/>
    <w:rsid w:val="00A12C5E"/>
    <w:rsid w:val="00A17F94"/>
    <w:rsid w:val="00A43DF2"/>
    <w:rsid w:val="00A472FF"/>
    <w:rsid w:val="00A80383"/>
    <w:rsid w:val="00AA6EF5"/>
    <w:rsid w:val="00AB0A2F"/>
    <w:rsid w:val="00AB3C64"/>
    <w:rsid w:val="00AC4488"/>
    <w:rsid w:val="00AC68FB"/>
    <w:rsid w:val="00AD4460"/>
    <w:rsid w:val="00B14823"/>
    <w:rsid w:val="00BB4719"/>
    <w:rsid w:val="00BD5F9F"/>
    <w:rsid w:val="00BE0434"/>
    <w:rsid w:val="00BE7868"/>
    <w:rsid w:val="00BF2F47"/>
    <w:rsid w:val="00C10D24"/>
    <w:rsid w:val="00C31B39"/>
    <w:rsid w:val="00C564EA"/>
    <w:rsid w:val="00C64D46"/>
    <w:rsid w:val="00C73725"/>
    <w:rsid w:val="00CA2559"/>
    <w:rsid w:val="00CA4D9C"/>
    <w:rsid w:val="00CB643C"/>
    <w:rsid w:val="00CD43B8"/>
    <w:rsid w:val="00CE2501"/>
    <w:rsid w:val="00D05155"/>
    <w:rsid w:val="00D13B9C"/>
    <w:rsid w:val="00D42588"/>
    <w:rsid w:val="00D51590"/>
    <w:rsid w:val="00D57E76"/>
    <w:rsid w:val="00D961EC"/>
    <w:rsid w:val="00DA55DF"/>
    <w:rsid w:val="00DC506A"/>
    <w:rsid w:val="00DC7E06"/>
    <w:rsid w:val="00DE1D3F"/>
    <w:rsid w:val="00DE6339"/>
    <w:rsid w:val="00E06335"/>
    <w:rsid w:val="00E3500C"/>
    <w:rsid w:val="00E355DA"/>
    <w:rsid w:val="00E41099"/>
    <w:rsid w:val="00E81765"/>
    <w:rsid w:val="00E82E53"/>
    <w:rsid w:val="00E952DD"/>
    <w:rsid w:val="00EC2A1F"/>
    <w:rsid w:val="00EC4D40"/>
    <w:rsid w:val="00EE6C57"/>
    <w:rsid w:val="00F04226"/>
    <w:rsid w:val="00F10332"/>
    <w:rsid w:val="00F120B3"/>
    <w:rsid w:val="00F12B6B"/>
    <w:rsid w:val="00F24C07"/>
    <w:rsid w:val="00F302E0"/>
    <w:rsid w:val="00F42482"/>
    <w:rsid w:val="00F45B94"/>
    <w:rsid w:val="00F60A12"/>
    <w:rsid w:val="00F8134F"/>
    <w:rsid w:val="00FB314B"/>
    <w:rsid w:val="00FD5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D8851-515D-4782-B142-E3E1829D5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B29"/>
    <w:pPr>
      <w:ind w:left="720"/>
      <w:contextualSpacing/>
    </w:pPr>
  </w:style>
  <w:style w:type="paragraph" w:styleId="Header">
    <w:name w:val="header"/>
    <w:basedOn w:val="Normal"/>
    <w:link w:val="HeaderChar"/>
    <w:uiPriority w:val="99"/>
    <w:unhideWhenUsed/>
    <w:rsid w:val="00AB3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C64"/>
  </w:style>
  <w:style w:type="paragraph" w:styleId="Footer">
    <w:name w:val="footer"/>
    <w:basedOn w:val="Normal"/>
    <w:link w:val="FooterChar"/>
    <w:uiPriority w:val="99"/>
    <w:unhideWhenUsed/>
    <w:rsid w:val="00AB3C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C64"/>
  </w:style>
  <w:style w:type="character" w:styleId="Hyperlink">
    <w:name w:val="Hyperlink"/>
    <w:basedOn w:val="DefaultParagraphFont"/>
    <w:uiPriority w:val="99"/>
    <w:unhideWhenUsed/>
    <w:rsid w:val="005F05ED"/>
    <w:rPr>
      <w:color w:val="0563C1" w:themeColor="hyperlink"/>
      <w:u w:val="single"/>
    </w:rPr>
  </w:style>
  <w:style w:type="character" w:styleId="CommentReference">
    <w:name w:val="annotation reference"/>
    <w:basedOn w:val="DefaultParagraphFont"/>
    <w:uiPriority w:val="99"/>
    <w:semiHidden/>
    <w:unhideWhenUsed/>
    <w:rsid w:val="0077469C"/>
    <w:rPr>
      <w:sz w:val="16"/>
      <w:szCs w:val="16"/>
    </w:rPr>
  </w:style>
  <w:style w:type="paragraph" w:styleId="CommentText">
    <w:name w:val="annotation text"/>
    <w:basedOn w:val="Normal"/>
    <w:link w:val="CommentTextChar"/>
    <w:uiPriority w:val="99"/>
    <w:semiHidden/>
    <w:unhideWhenUsed/>
    <w:rsid w:val="0077469C"/>
    <w:pPr>
      <w:spacing w:line="240" w:lineRule="auto"/>
    </w:pPr>
    <w:rPr>
      <w:sz w:val="20"/>
      <w:szCs w:val="20"/>
    </w:rPr>
  </w:style>
  <w:style w:type="character" w:customStyle="1" w:styleId="CommentTextChar">
    <w:name w:val="Comment Text Char"/>
    <w:basedOn w:val="DefaultParagraphFont"/>
    <w:link w:val="CommentText"/>
    <w:uiPriority w:val="99"/>
    <w:semiHidden/>
    <w:rsid w:val="0077469C"/>
    <w:rPr>
      <w:sz w:val="20"/>
      <w:szCs w:val="20"/>
    </w:rPr>
  </w:style>
  <w:style w:type="paragraph" w:styleId="CommentSubject">
    <w:name w:val="annotation subject"/>
    <w:basedOn w:val="CommentText"/>
    <w:next w:val="CommentText"/>
    <w:link w:val="CommentSubjectChar"/>
    <w:uiPriority w:val="99"/>
    <w:semiHidden/>
    <w:unhideWhenUsed/>
    <w:rsid w:val="0077469C"/>
    <w:rPr>
      <w:b/>
      <w:bCs/>
    </w:rPr>
  </w:style>
  <w:style w:type="character" w:customStyle="1" w:styleId="CommentSubjectChar">
    <w:name w:val="Comment Subject Char"/>
    <w:basedOn w:val="CommentTextChar"/>
    <w:link w:val="CommentSubject"/>
    <w:uiPriority w:val="99"/>
    <w:semiHidden/>
    <w:rsid w:val="0077469C"/>
    <w:rPr>
      <w:b/>
      <w:bCs/>
      <w:sz w:val="20"/>
      <w:szCs w:val="20"/>
    </w:rPr>
  </w:style>
  <w:style w:type="paragraph" w:styleId="BalloonText">
    <w:name w:val="Balloon Text"/>
    <w:basedOn w:val="Normal"/>
    <w:link w:val="BalloonTextChar"/>
    <w:uiPriority w:val="99"/>
    <w:semiHidden/>
    <w:unhideWhenUsed/>
    <w:rsid w:val="007746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69C"/>
    <w:rPr>
      <w:rFonts w:ascii="Segoe UI" w:hAnsi="Segoe UI" w:cs="Segoe UI"/>
      <w:sz w:val="18"/>
      <w:szCs w:val="18"/>
    </w:rPr>
  </w:style>
  <w:style w:type="paragraph" w:customStyle="1" w:styleId="Default">
    <w:name w:val="Default"/>
    <w:rsid w:val="003D46DE"/>
    <w:pPr>
      <w:autoSpaceDE w:val="0"/>
      <w:autoSpaceDN w:val="0"/>
      <w:adjustRightInd w:val="0"/>
      <w:spacing w:after="0" w:line="240" w:lineRule="auto"/>
    </w:pPr>
    <w:rPr>
      <w:rFonts w:ascii="Myriad Pro" w:hAnsi="Myriad Pro" w:cs="Myriad Pro"/>
      <w:color w:val="000000"/>
      <w:sz w:val="24"/>
      <w:szCs w:val="24"/>
    </w:rPr>
  </w:style>
  <w:style w:type="paragraph" w:customStyle="1" w:styleId="Pa5">
    <w:name w:val="Pa5"/>
    <w:basedOn w:val="Default"/>
    <w:next w:val="Default"/>
    <w:uiPriority w:val="99"/>
    <w:rsid w:val="0043335F"/>
    <w:pPr>
      <w:spacing w:line="191" w:lineRule="atLeast"/>
    </w:pPr>
    <w:rPr>
      <w:rFonts w:cstheme="minorBidi"/>
      <w:color w:val="auto"/>
    </w:rPr>
  </w:style>
  <w:style w:type="character" w:customStyle="1" w:styleId="A13">
    <w:name w:val="A13"/>
    <w:uiPriority w:val="99"/>
    <w:rsid w:val="00E41099"/>
    <w:rPr>
      <w:rFonts w:cs="Cambria"/>
      <w:color w:val="000000"/>
      <w:sz w:val="16"/>
      <w:szCs w:val="16"/>
    </w:rPr>
  </w:style>
  <w:style w:type="character" w:customStyle="1" w:styleId="A9">
    <w:name w:val="A9"/>
    <w:uiPriority w:val="99"/>
    <w:rsid w:val="00254CD4"/>
    <w:rPr>
      <w:rFonts w:cs="Frutiger LT Std 45 Light"/>
      <w:color w:val="000000"/>
      <w:sz w:val="11"/>
      <w:szCs w:val="11"/>
    </w:rPr>
  </w:style>
  <w:style w:type="character" w:customStyle="1" w:styleId="A10">
    <w:name w:val="A10"/>
    <w:uiPriority w:val="99"/>
    <w:rsid w:val="00254CD4"/>
    <w:rPr>
      <w:rFonts w:cs="Frutiger LT Std 45 Light"/>
      <w:color w:val="000000"/>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87834">
      <w:bodyDiv w:val="1"/>
      <w:marLeft w:val="0"/>
      <w:marRight w:val="0"/>
      <w:marTop w:val="0"/>
      <w:marBottom w:val="0"/>
      <w:divBdr>
        <w:top w:val="none" w:sz="0" w:space="0" w:color="auto"/>
        <w:left w:val="none" w:sz="0" w:space="0" w:color="auto"/>
        <w:bottom w:val="none" w:sz="0" w:space="0" w:color="auto"/>
        <w:right w:val="none" w:sz="0" w:space="0" w:color="auto"/>
      </w:divBdr>
      <w:divsChild>
        <w:div w:id="1490169155">
          <w:marLeft w:val="0"/>
          <w:marRight w:val="0"/>
          <w:marTop w:val="0"/>
          <w:marBottom w:val="0"/>
          <w:divBdr>
            <w:top w:val="none" w:sz="0" w:space="0" w:color="auto"/>
            <w:left w:val="none" w:sz="0" w:space="0" w:color="auto"/>
            <w:bottom w:val="none" w:sz="0" w:space="0" w:color="auto"/>
            <w:right w:val="none" w:sz="0" w:space="0" w:color="auto"/>
          </w:divBdr>
        </w:div>
        <w:div w:id="136343677">
          <w:marLeft w:val="0"/>
          <w:marRight w:val="0"/>
          <w:marTop w:val="0"/>
          <w:marBottom w:val="0"/>
          <w:divBdr>
            <w:top w:val="none" w:sz="0" w:space="0" w:color="auto"/>
            <w:left w:val="none" w:sz="0" w:space="0" w:color="auto"/>
            <w:bottom w:val="none" w:sz="0" w:space="0" w:color="auto"/>
            <w:right w:val="none" w:sz="0" w:space="0" w:color="auto"/>
          </w:divBdr>
        </w:div>
        <w:div w:id="614335582">
          <w:marLeft w:val="0"/>
          <w:marRight w:val="0"/>
          <w:marTop w:val="0"/>
          <w:marBottom w:val="0"/>
          <w:divBdr>
            <w:top w:val="none" w:sz="0" w:space="0" w:color="auto"/>
            <w:left w:val="none" w:sz="0" w:space="0" w:color="auto"/>
            <w:bottom w:val="none" w:sz="0" w:space="0" w:color="auto"/>
            <w:right w:val="none" w:sz="0" w:space="0" w:color="auto"/>
          </w:divBdr>
        </w:div>
        <w:div w:id="468786682">
          <w:marLeft w:val="0"/>
          <w:marRight w:val="0"/>
          <w:marTop w:val="0"/>
          <w:marBottom w:val="0"/>
          <w:divBdr>
            <w:top w:val="none" w:sz="0" w:space="0" w:color="auto"/>
            <w:left w:val="none" w:sz="0" w:space="0" w:color="auto"/>
            <w:bottom w:val="none" w:sz="0" w:space="0" w:color="auto"/>
            <w:right w:val="none" w:sz="0" w:space="0" w:color="auto"/>
          </w:divBdr>
        </w:div>
        <w:div w:id="26179891">
          <w:marLeft w:val="0"/>
          <w:marRight w:val="0"/>
          <w:marTop w:val="0"/>
          <w:marBottom w:val="0"/>
          <w:divBdr>
            <w:top w:val="none" w:sz="0" w:space="0" w:color="auto"/>
            <w:left w:val="none" w:sz="0" w:space="0" w:color="auto"/>
            <w:bottom w:val="none" w:sz="0" w:space="0" w:color="auto"/>
            <w:right w:val="none" w:sz="0" w:space="0" w:color="auto"/>
          </w:divBdr>
        </w:div>
        <w:div w:id="929510456">
          <w:marLeft w:val="0"/>
          <w:marRight w:val="0"/>
          <w:marTop w:val="0"/>
          <w:marBottom w:val="0"/>
          <w:divBdr>
            <w:top w:val="none" w:sz="0" w:space="0" w:color="auto"/>
            <w:left w:val="none" w:sz="0" w:space="0" w:color="auto"/>
            <w:bottom w:val="none" w:sz="0" w:space="0" w:color="auto"/>
            <w:right w:val="none" w:sz="0" w:space="0" w:color="auto"/>
          </w:divBdr>
        </w:div>
        <w:div w:id="1850942484">
          <w:marLeft w:val="0"/>
          <w:marRight w:val="0"/>
          <w:marTop w:val="0"/>
          <w:marBottom w:val="0"/>
          <w:divBdr>
            <w:top w:val="none" w:sz="0" w:space="0" w:color="auto"/>
            <w:left w:val="none" w:sz="0" w:space="0" w:color="auto"/>
            <w:bottom w:val="none" w:sz="0" w:space="0" w:color="auto"/>
            <w:right w:val="none" w:sz="0" w:space="0" w:color="auto"/>
          </w:divBdr>
        </w:div>
        <w:div w:id="670178240">
          <w:marLeft w:val="0"/>
          <w:marRight w:val="0"/>
          <w:marTop w:val="0"/>
          <w:marBottom w:val="0"/>
          <w:divBdr>
            <w:top w:val="none" w:sz="0" w:space="0" w:color="auto"/>
            <w:left w:val="none" w:sz="0" w:space="0" w:color="auto"/>
            <w:bottom w:val="none" w:sz="0" w:space="0" w:color="auto"/>
            <w:right w:val="none" w:sz="0" w:space="0" w:color="auto"/>
          </w:divBdr>
        </w:div>
        <w:div w:id="583807482">
          <w:marLeft w:val="0"/>
          <w:marRight w:val="0"/>
          <w:marTop w:val="0"/>
          <w:marBottom w:val="0"/>
          <w:divBdr>
            <w:top w:val="none" w:sz="0" w:space="0" w:color="auto"/>
            <w:left w:val="none" w:sz="0" w:space="0" w:color="auto"/>
            <w:bottom w:val="none" w:sz="0" w:space="0" w:color="auto"/>
            <w:right w:val="none" w:sz="0" w:space="0" w:color="auto"/>
          </w:divBdr>
        </w:div>
        <w:div w:id="1607689568">
          <w:marLeft w:val="0"/>
          <w:marRight w:val="0"/>
          <w:marTop w:val="0"/>
          <w:marBottom w:val="0"/>
          <w:divBdr>
            <w:top w:val="none" w:sz="0" w:space="0" w:color="auto"/>
            <w:left w:val="none" w:sz="0" w:space="0" w:color="auto"/>
            <w:bottom w:val="none" w:sz="0" w:space="0" w:color="auto"/>
            <w:right w:val="none" w:sz="0" w:space="0" w:color="auto"/>
          </w:divBdr>
        </w:div>
        <w:div w:id="716585659">
          <w:marLeft w:val="0"/>
          <w:marRight w:val="0"/>
          <w:marTop w:val="0"/>
          <w:marBottom w:val="0"/>
          <w:divBdr>
            <w:top w:val="none" w:sz="0" w:space="0" w:color="auto"/>
            <w:left w:val="none" w:sz="0" w:space="0" w:color="auto"/>
            <w:bottom w:val="none" w:sz="0" w:space="0" w:color="auto"/>
            <w:right w:val="none" w:sz="0" w:space="0" w:color="auto"/>
          </w:divBdr>
        </w:div>
        <w:div w:id="792097752">
          <w:marLeft w:val="0"/>
          <w:marRight w:val="0"/>
          <w:marTop w:val="0"/>
          <w:marBottom w:val="0"/>
          <w:divBdr>
            <w:top w:val="none" w:sz="0" w:space="0" w:color="auto"/>
            <w:left w:val="none" w:sz="0" w:space="0" w:color="auto"/>
            <w:bottom w:val="none" w:sz="0" w:space="0" w:color="auto"/>
            <w:right w:val="none" w:sz="0" w:space="0" w:color="auto"/>
          </w:divBdr>
        </w:div>
        <w:div w:id="1466505037">
          <w:marLeft w:val="0"/>
          <w:marRight w:val="0"/>
          <w:marTop w:val="0"/>
          <w:marBottom w:val="0"/>
          <w:divBdr>
            <w:top w:val="none" w:sz="0" w:space="0" w:color="auto"/>
            <w:left w:val="none" w:sz="0" w:space="0" w:color="auto"/>
            <w:bottom w:val="none" w:sz="0" w:space="0" w:color="auto"/>
            <w:right w:val="none" w:sz="0" w:space="0" w:color="auto"/>
          </w:divBdr>
        </w:div>
        <w:div w:id="71970119">
          <w:marLeft w:val="0"/>
          <w:marRight w:val="0"/>
          <w:marTop w:val="0"/>
          <w:marBottom w:val="0"/>
          <w:divBdr>
            <w:top w:val="none" w:sz="0" w:space="0" w:color="auto"/>
            <w:left w:val="none" w:sz="0" w:space="0" w:color="auto"/>
            <w:bottom w:val="none" w:sz="0" w:space="0" w:color="auto"/>
            <w:right w:val="none" w:sz="0" w:space="0" w:color="auto"/>
          </w:divBdr>
        </w:div>
        <w:div w:id="477646214">
          <w:marLeft w:val="0"/>
          <w:marRight w:val="0"/>
          <w:marTop w:val="0"/>
          <w:marBottom w:val="0"/>
          <w:divBdr>
            <w:top w:val="none" w:sz="0" w:space="0" w:color="auto"/>
            <w:left w:val="none" w:sz="0" w:space="0" w:color="auto"/>
            <w:bottom w:val="none" w:sz="0" w:space="0" w:color="auto"/>
            <w:right w:val="none" w:sz="0" w:space="0" w:color="auto"/>
          </w:divBdr>
        </w:div>
        <w:div w:id="631860486">
          <w:marLeft w:val="0"/>
          <w:marRight w:val="0"/>
          <w:marTop w:val="0"/>
          <w:marBottom w:val="0"/>
          <w:divBdr>
            <w:top w:val="none" w:sz="0" w:space="0" w:color="auto"/>
            <w:left w:val="none" w:sz="0" w:space="0" w:color="auto"/>
            <w:bottom w:val="none" w:sz="0" w:space="0" w:color="auto"/>
            <w:right w:val="none" w:sz="0" w:space="0" w:color="auto"/>
          </w:divBdr>
        </w:div>
        <w:div w:id="928659670">
          <w:marLeft w:val="0"/>
          <w:marRight w:val="0"/>
          <w:marTop w:val="0"/>
          <w:marBottom w:val="0"/>
          <w:divBdr>
            <w:top w:val="none" w:sz="0" w:space="0" w:color="auto"/>
            <w:left w:val="none" w:sz="0" w:space="0" w:color="auto"/>
            <w:bottom w:val="none" w:sz="0" w:space="0" w:color="auto"/>
            <w:right w:val="none" w:sz="0" w:space="0" w:color="auto"/>
          </w:divBdr>
        </w:div>
        <w:div w:id="1892614997">
          <w:marLeft w:val="0"/>
          <w:marRight w:val="0"/>
          <w:marTop w:val="0"/>
          <w:marBottom w:val="0"/>
          <w:divBdr>
            <w:top w:val="none" w:sz="0" w:space="0" w:color="auto"/>
            <w:left w:val="none" w:sz="0" w:space="0" w:color="auto"/>
            <w:bottom w:val="none" w:sz="0" w:space="0" w:color="auto"/>
            <w:right w:val="none" w:sz="0" w:space="0" w:color="auto"/>
          </w:divBdr>
        </w:div>
        <w:div w:id="1302269690">
          <w:marLeft w:val="0"/>
          <w:marRight w:val="0"/>
          <w:marTop w:val="0"/>
          <w:marBottom w:val="0"/>
          <w:divBdr>
            <w:top w:val="none" w:sz="0" w:space="0" w:color="auto"/>
            <w:left w:val="none" w:sz="0" w:space="0" w:color="auto"/>
            <w:bottom w:val="none" w:sz="0" w:space="0" w:color="auto"/>
            <w:right w:val="none" w:sz="0" w:space="0" w:color="auto"/>
          </w:divBdr>
        </w:div>
        <w:div w:id="452015943">
          <w:marLeft w:val="0"/>
          <w:marRight w:val="0"/>
          <w:marTop w:val="0"/>
          <w:marBottom w:val="0"/>
          <w:divBdr>
            <w:top w:val="none" w:sz="0" w:space="0" w:color="auto"/>
            <w:left w:val="none" w:sz="0" w:space="0" w:color="auto"/>
            <w:bottom w:val="none" w:sz="0" w:space="0" w:color="auto"/>
            <w:right w:val="none" w:sz="0" w:space="0" w:color="auto"/>
          </w:divBdr>
        </w:div>
        <w:div w:id="785123767">
          <w:marLeft w:val="0"/>
          <w:marRight w:val="0"/>
          <w:marTop w:val="0"/>
          <w:marBottom w:val="0"/>
          <w:divBdr>
            <w:top w:val="none" w:sz="0" w:space="0" w:color="auto"/>
            <w:left w:val="none" w:sz="0" w:space="0" w:color="auto"/>
            <w:bottom w:val="none" w:sz="0" w:space="0" w:color="auto"/>
            <w:right w:val="none" w:sz="0" w:space="0" w:color="auto"/>
          </w:divBdr>
        </w:div>
        <w:div w:id="877276695">
          <w:marLeft w:val="0"/>
          <w:marRight w:val="0"/>
          <w:marTop w:val="0"/>
          <w:marBottom w:val="0"/>
          <w:divBdr>
            <w:top w:val="none" w:sz="0" w:space="0" w:color="auto"/>
            <w:left w:val="none" w:sz="0" w:space="0" w:color="auto"/>
            <w:bottom w:val="none" w:sz="0" w:space="0" w:color="auto"/>
            <w:right w:val="none" w:sz="0" w:space="0" w:color="auto"/>
          </w:divBdr>
        </w:div>
        <w:div w:id="1245412063">
          <w:marLeft w:val="0"/>
          <w:marRight w:val="0"/>
          <w:marTop w:val="0"/>
          <w:marBottom w:val="0"/>
          <w:divBdr>
            <w:top w:val="none" w:sz="0" w:space="0" w:color="auto"/>
            <w:left w:val="none" w:sz="0" w:space="0" w:color="auto"/>
            <w:bottom w:val="none" w:sz="0" w:space="0" w:color="auto"/>
            <w:right w:val="none" w:sz="0" w:space="0" w:color="auto"/>
          </w:divBdr>
        </w:div>
        <w:div w:id="1765032942">
          <w:marLeft w:val="0"/>
          <w:marRight w:val="0"/>
          <w:marTop w:val="0"/>
          <w:marBottom w:val="0"/>
          <w:divBdr>
            <w:top w:val="none" w:sz="0" w:space="0" w:color="auto"/>
            <w:left w:val="none" w:sz="0" w:space="0" w:color="auto"/>
            <w:bottom w:val="none" w:sz="0" w:space="0" w:color="auto"/>
            <w:right w:val="none" w:sz="0" w:space="0" w:color="auto"/>
          </w:divBdr>
        </w:div>
        <w:div w:id="482891008">
          <w:marLeft w:val="0"/>
          <w:marRight w:val="0"/>
          <w:marTop w:val="0"/>
          <w:marBottom w:val="0"/>
          <w:divBdr>
            <w:top w:val="none" w:sz="0" w:space="0" w:color="auto"/>
            <w:left w:val="none" w:sz="0" w:space="0" w:color="auto"/>
            <w:bottom w:val="none" w:sz="0" w:space="0" w:color="auto"/>
            <w:right w:val="none" w:sz="0" w:space="0" w:color="auto"/>
          </w:divBdr>
        </w:div>
        <w:div w:id="1879270567">
          <w:marLeft w:val="0"/>
          <w:marRight w:val="0"/>
          <w:marTop w:val="0"/>
          <w:marBottom w:val="0"/>
          <w:divBdr>
            <w:top w:val="none" w:sz="0" w:space="0" w:color="auto"/>
            <w:left w:val="none" w:sz="0" w:space="0" w:color="auto"/>
            <w:bottom w:val="none" w:sz="0" w:space="0" w:color="auto"/>
            <w:right w:val="none" w:sz="0" w:space="0" w:color="auto"/>
          </w:divBdr>
        </w:div>
        <w:div w:id="3020042">
          <w:marLeft w:val="0"/>
          <w:marRight w:val="0"/>
          <w:marTop w:val="0"/>
          <w:marBottom w:val="0"/>
          <w:divBdr>
            <w:top w:val="none" w:sz="0" w:space="0" w:color="auto"/>
            <w:left w:val="none" w:sz="0" w:space="0" w:color="auto"/>
            <w:bottom w:val="none" w:sz="0" w:space="0" w:color="auto"/>
            <w:right w:val="none" w:sz="0" w:space="0" w:color="auto"/>
          </w:divBdr>
        </w:div>
        <w:div w:id="962736957">
          <w:marLeft w:val="0"/>
          <w:marRight w:val="0"/>
          <w:marTop w:val="0"/>
          <w:marBottom w:val="0"/>
          <w:divBdr>
            <w:top w:val="none" w:sz="0" w:space="0" w:color="auto"/>
            <w:left w:val="none" w:sz="0" w:space="0" w:color="auto"/>
            <w:bottom w:val="none" w:sz="0" w:space="0" w:color="auto"/>
            <w:right w:val="none" w:sz="0" w:space="0" w:color="auto"/>
          </w:divBdr>
        </w:div>
        <w:div w:id="1312634948">
          <w:marLeft w:val="0"/>
          <w:marRight w:val="0"/>
          <w:marTop w:val="0"/>
          <w:marBottom w:val="0"/>
          <w:divBdr>
            <w:top w:val="none" w:sz="0" w:space="0" w:color="auto"/>
            <w:left w:val="none" w:sz="0" w:space="0" w:color="auto"/>
            <w:bottom w:val="none" w:sz="0" w:space="0" w:color="auto"/>
            <w:right w:val="none" w:sz="0" w:space="0" w:color="auto"/>
          </w:divBdr>
        </w:div>
        <w:div w:id="593630889">
          <w:marLeft w:val="0"/>
          <w:marRight w:val="0"/>
          <w:marTop w:val="0"/>
          <w:marBottom w:val="0"/>
          <w:divBdr>
            <w:top w:val="none" w:sz="0" w:space="0" w:color="auto"/>
            <w:left w:val="none" w:sz="0" w:space="0" w:color="auto"/>
            <w:bottom w:val="none" w:sz="0" w:space="0" w:color="auto"/>
            <w:right w:val="none" w:sz="0" w:space="0" w:color="auto"/>
          </w:divBdr>
        </w:div>
        <w:div w:id="1344628172">
          <w:marLeft w:val="0"/>
          <w:marRight w:val="0"/>
          <w:marTop w:val="0"/>
          <w:marBottom w:val="0"/>
          <w:divBdr>
            <w:top w:val="none" w:sz="0" w:space="0" w:color="auto"/>
            <w:left w:val="none" w:sz="0" w:space="0" w:color="auto"/>
            <w:bottom w:val="none" w:sz="0" w:space="0" w:color="auto"/>
            <w:right w:val="none" w:sz="0" w:space="0" w:color="auto"/>
          </w:divBdr>
        </w:div>
        <w:div w:id="2027361717">
          <w:marLeft w:val="0"/>
          <w:marRight w:val="0"/>
          <w:marTop w:val="0"/>
          <w:marBottom w:val="0"/>
          <w:divBdr>
            <w:top w:val="none" w:sz="0" w:space="0" w:color="auto"/>
            <w:left w:val="none" w:sz="0" w:space="0" w:color="auto"/>
            <w:bottom w:val="none" w:sz="0" w:space="0" w:color="auto"/>
            <w:right w:val="none" w:sz="0" w:space="0" w:color="auto"/>
          </w:divBdr>
        </w:div>
        <w:div w:id="1073966749">
          <w:marLeft w:val="0"/>
          <w:marRight w:val="0"/>
          <w:marTop w:val="0"/>
          <w:marBottom w:val="0"/>
          <w:divBdr>
            <w:top w:val="none" w:sz="0" w:space="0" w:color="auto"/>
            <w:left w:val="none" w:sz="0" w:space="0" w:color="auto"/>
            <w:bottom w:val="none" w:sz="0" w:space="0" w:color="auto"/>
            <w:right w:val="none" w:sz="0" w:space="0" w:color="auto"/>
          </w:divBdr>
        </w:div>
        <w:div w:id="634800814">
          <w:marLeft w:val="0"/>
          <w:marRight w:val="0"/>
          <w:marTop w:val="0"/>
          <w:marBottom w:val="0"/>
          <w:divBdr>
            <w:top w:val="none" w:sz="0" w:space="0" w:color="auto"/>
            <w:left w:val="none" w:sz="0" w:space="0" w:color="auto"/>
            <w:bottom w:val="none" w:sz="0" w:space="0" w:color="auto"/>
            <w:right w:val="none" w:sz="0" w:space="0" w:color="auto"/>
          </w:divBdr>
        </w:div>
        <w:div w:id="9071619">
          <w:marLeft w:val="0"/>
          <w:marRight w:val="0"/>
          <w:marTop w:val="0"/>
          <w:marBottom w:val="0"/>
          <w:divBdr>
            <w:top w:val="none" w:sz="0" w:space="0" w:color="auto"/>
            <w:left w:val="none" w:sz="0" w:space="0" w:color="auto"/>
            <w:bottom w:val="none" w:sz="0" w:space="0" w:color="auto"/>
            <w:right w:val="none" w:sz="0" w:space="0" w:color="auto"/>
          </w:divBdr>
        </w:div>
        <w:div w:id="1759979393">
          <w:marLeft w:val="0"/>
          <w:marRight w:val="0"/>
          <w:marTop w:val="0"/>
          <w:marBottom w:val="0"/>
          <w:divBdr>
            <w:top w:val="none" w:sz="0" w:space="0" w:color="auto"/>
            <w:left w:val="none" w:sz="0" w:space="0" w:color="auto"/>
            <w:bottom w:val="none" w:sz="0" w:space="0" w:color="auto"/>
            <w:right w:val="none" w:sz="0" w:space="0" w:color="auto"/>
          </w:divBdr>
        </w:div>
        <w:div w:id="506944662">
          <w:marLeft w:val="0"/>
          <w:marRight w:val="0"/>
          <w:marTop w:val="0"/>
          <w:marBottom w:val="0"/>
          <w:divBdr>
            <w:top w:val="none" w:sz="0" w:space="0" w:color="auto"/>
            <w:left w:val="none" w:sz="0" w:space="0" w:color="auto"/>
            <w:bottom w:val="none" w:sz="0" w:space="0" w:color="auto"/>
            <w:right w:val="none" w:sz="0" w:space="0" w:color="auto"/>
          </w:divBdr>
        </w:div>
        <w:div w:id="471289354">
          <w:marLeft w:val="0"/>
          <w:marRight w:val="0"/>
          <w:marTop w:val="0"/>
          <w:marBottom w:val="0"/>
          <w:divBdr>
            <w:top w:val="none" w:sz="0" w:space="0" w:color="auto"/>
            <w:left w:val="none" w:sz="0" w:space="0" w:color="auto"/>
            <w:bottom w:val="none" w:sz="0" w:space="0" w:color="auto"/>
            <w:right w:val="none" w:sz="0" w:space="0" w:color="auto"/>
          </w:divBdr>
        </w:div>
        <w:div w:id="29653319">
          <w:marLeft w:val="0"/>
          <w:marRight w:val="0"/>
          <w:marTop w:val="0"/>
          <w:marBottom w:val="0"/>
          <w:divBdr>
            <w:top w:val="none" w:sz="0" w:space="0" w:color="auto"/>
            <w:left w:val="none" w:sz="0" w:space="0" w:color="auto"/>
            <w:bottom w:val="none" w:sz="0" w:space="0" w:color="auto"/>
            <w:right w:val="none" w:sz="0" w:space="0" w:color="auto"/>
          </w:divBdr>
        </w:div>
        <w:div w:id="1307054766">
          <w:marLeft w:val="0"/>
          <w:marRight w:val="0"/>
          <w:marTop w:val="0"/>
          <w:marBottom w:val="0"/>
          <w:divBdr>
            <w:top w:val="none" w:sz="0" w:space="0" w:color="auto"/>
            <w:left w:val="none" w:sz="0" w:space="0" w:color="auto"/>
            <w:bottom w:val="none" w:sz="0" w:space="0" w:color="auto"/>
            <w:right w:val="none" w:sz="0" w:space="0" w:color="auto"/>
          </w:divBdr>
        </w:div>
        <w:div w:id="533494419">
          <w:marLeft w:val="0"/>
          <w:marRight w:val="0"/>
          <w:marTop w:val="0"/>
          <w:marBottom w:val="0"/>
          <w:divBdr>
            <w:top w:val="none" w:sz="0" w:space="0" w:color="auto"/>
            <w:left w:val="none" w:sz="0" w:space="0" w:color="auto"/>
            <w:bottom w:val="none" w:sz="0" w:space="0" w:color="auto"/>
            <w:right w:val="none" w:sz="0" w:space="0" w:color="auto"/>
          </w:divBdr>
        </w:div>
      </w:divsChild>
    </w:div>
    <w:div w:id="1036615215">
      <w:bodyDiv w:val="1"/>
      <w:marLeft w:val="0"/>
      <w:marRight w:val="0"/>
      <w:marTop w:val="0"/>
      <w:marBottom w:val="0"/>
      <w:divBdr>
        <w:top w:val="none" w:sz="0" w:space="0" w:color="auto"/>
        <w:left w:val="none" w:sz="0" w:space="0" w:color="auto"/>
        <w:bottom w:val="none" w:sz="0" w:space="0" w:color="auto"/>
        <w:right w:val="none" w:sz="0" w:space="0" w:color="auto"/>
      </w:divBdr>
      <w:divsChild>
        <w:div w:id="300423098">
          <w:marLeft w:val="547"/>
          <w:marRight w:val="0"/>
          <w:marTop w:val="115"/>
          <w:marBottom w:val="0"/>
          <w:divBdr>
            <w:top w:val="none" w:sz="0" w:space="0" w:color="auto"/>
            <w:left w:val="none" w:sz="0" w:space="0" w:color="auto"/>
            <w:bottom w:val="none" w:sz="0" w:space="0" w:color="auto"/>
            <w:right w:val="none" w:sz="0" w:space="0" w:color="auto"/>
          </w:divBdr>
        </w:div>
      </w:divsChild>
    </w:div>
    <w:div w:id="150550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microsoft.com/office/2007/relationships/hdphoto" Target="media/hdphoto3.wdp"/><Relationship Id="rId26" Type="http://schemas.microsoft.com/office/2007/relationships/hdphoto" Target="media/hdphoto4.wdp"/><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 Id="rId22" Type="http://schemas.openxmlformats.org/officeDocument/2006/relationships/image" Target="media/image12.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71D13-EAD4-48C6-BCB0-4A653CE1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2749</Words>
  <Characters>15672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nyoman ayu anggayanti</dc:creator>
  <cp:keywords/>
  <dc:description/>
  <cp:lastModifiedBy>User</cp:lastModifiedBy>
  <cp:revision>2</cp:revision>
  <dcterms:created xsi:type="dcterms:W3CDTF">2019-09-27T06:33:00Z</dcterms:created>
  <dcterms:modified xsi:type="dcterms:W3CDTF">2019-09-27T06:33:00Z</dcterms:modified>
</cp:coreProperties>
</file>