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83D09" w14:textId="4796559F" w:rsidR="00080FE6" w:rsidRPr="00C14CDB" w:rsidRDefault="00C14CDB" w:rsidP="00080FE6">
      <w:pPr>
        <w:jc w:val="center"/>
        <w:rPr>
          <w:rFonts w:ascii="Arial" w:hAnsi="Arial" w:cs="Arial"/>
          <w:b/>
          <w:sz w:val="28"/>
          <w:szCs w:val="24"/>
        </w:rPr>
      </w:pPr>
      <w:bookmarkStart w:id="0" w:name="_Hlk69649628"/>
      <w:r w:rsidRPr="00C14CDB">
        <w:rPr>
          <w:rFonts w:ascii="Arial" w:hAnsi="Arial" w:cs="Arial"/>
          <w:b/>
          <w:sz w:val="28"/>
          <w:szCs w:val="24"/>
        </w:rPr>
        <w:t>Manajemen pendarahan gusi akibat pansitopenia pada pasien dengan suspek anemia aplastik: laporan kasus</w:t>
      </w:r>
    </w:p>
    <w:p w14:paraId="1E1A6D7F" w14:textId="77777777" w:rsidR="00080FE6" w:rsidRPr="00C14CDB" w:rsidRDefault="00080FE6" w:rsidP="00080FE6">
      <w:pPr>
        <w:spacing w:line="360" w:lineRule="auto"/>
        <w:jc w:val="center"/>
        <w:rPr>
          <w:rFonts w:ascii="Arial" w:hAnsi="Arial" w:cs="Arial"/>
          <w:b/>
          <w:bCs/>
          <w:sz w:val="24"/>
          <w:szCs w:val="24"/>
          <w:vertAlign w:val="superscript"/>
          <w:lang w:val="id-ID"/>
        </w:rPr>
      </w:pPr>
      <w:r w:rsidRPr="00C14CDB">
        <w:rPr>
          <w:rFonts w:ascii="Arial" w:hAnsi="Arial" w:cs="Arial"/>
          <w:b/>
          <w:bCs/>
          <w:sz w:val="24"/>
          <w:szCs w:val="24"/>
        </w:rPr>
        <w:t>Fika Faradilla</w:t>
      </w:r>
      <w:r w:rsidRPr="00C14CDB">
        <w:rPr>
          <w:rFonts w:ascii="Arial" w:hAnsi="Arial" w:cs="Arial"/>
          <w:b/>
          <w:bCs/>
          <w:sz w:val="24"/>
          <w:szCs w:val="24"/>
          <w:lang w:val="id-ID"/>
        </w:rPr>
        <w:t>h</w:t>
      </w:r>
      <w:r w:rsidRPr="00C14CDB">
        <w:rPr>
          <w:rFonts w:ascii="Arial" w:hAnsi="Arial" w:cs="Arial"/>
          <w:b/>
          <w:bCs/>
          <w:sz w:val="24"/>
          <w:szCs w:val="24"/>
        </w:rPr>
        <w:t xml:space="preserve"> Drakel</w:t>
      </w:r>
      <w:r w:rsidRPr="00C14CDB">
        <w:rPr>
          <w:rFonts w:ascii="Arial" w:hAnsi="Arial" w:cs="Arial"/>
          <w:b/>
          <w:bCs/>
          <w:sz w:val="24"/>
          <w:szCs w:val="24"/>
          <w:vertAlign w:val="superscript"/>
        </w:rPr>
        <w:t>1</w:t>
      </w:r>
      <w:r w:rsidRPr="00C14CDB">
        <w:rPr>
          <w:rFonts w:ascii="Arial" w:hAnsi="Arial" w:cs="Arial"/>
          <w:b/>
          <w:bCs/>
          <w:sz w:val="24"/>
          <w:szCs w:val="24"/>
        </w:rPr>
        <w:t xml:space="preserve">, </w:t>
      </w:r>
      <w:r w:rsidRPr="00C14CDB">
        <w:rPr>
          <w:rFonts w:ascii="Arial" w:hAnsi="Arial" w:cs="Arial"/>
          <w:b/>
          <w:bCs/>
          <w:sz w:val="24"/>
          <w:szCs w:val="24"/>
          <w:lang w:val="id-ID"/>
        </w:rPr>
        <w:t>Dewi Zakiawati</w:t>
      </w:r>
      <w:r w:rsidRPr="00C14CDB">
        <w:rPr>
          <w:rFonts w:ascii="Arial" w:hAnsi="Arial" w:cs="Arial"/>
          <w:b/>
          <w:bCs/>
          <w:sz w:val="24"/>
          <w:szCs w:val="24"/>
          <w:vertAlign w:val="superscript"/>
          <w:lang w:val="id-ID"/>
        </w:rPr>
        <w:t>2</w:t>
      </w:r>
      <w:r w:rsidRPr="00C14CDB">
        <w:rPr>
          <w:rFonts w:ascii="Arial" w:hAnsi="Arial" w:cs="Arial"/>
          <w:b/>
          <w:bCs/>
          <w:sz w:val="24"/>
          <w:szCs w:val="24"/>
          <w:lang w:val="id-ID"/>
        </w:rPr>
        <w:t xml:space="preserve">, </w:t>
      </w:r>
      <w:r w:rsidRPr="00C14CDB">
        <w:rPr>
          <w:rFonts w:ascii="Arial" w:hAnsi="Arial" w:cs="Arial"/>
          <w:b/>
          <w:bCs/>
          <w:sz w:val="24"/>
          <w:szCs w:val="24"/>
        </w:rPr>
        <w:t>Nanan Nur’aeny</w:t>
      </w:r>
      <w:r w:rsidRPr="00C14CDB">
        <w:rPr>
          <w:rFonts w:ascii="Arial" w:hAnsi="Arial" w:cs="Arial"/>
          <w:b/>
          <w:bCs/>
          <w:sz w:val="24"/>
          <w:szCs w:val="24"/>
          <w:vertAlign w:val="superscript"/>
          <w:lang w:val="id-ID"/>
        </w:rPr>
        <w:t>3</w:t>
      </w:r>
      <w:r w:rsidRPr="00C14CDB">
        <w:rPr>
          <w:rFonts w:ascii="Arial" w:hAnsi="Arial" w:cs="Arial"/>
          <w:b/>
          <w:bCs/>
          <w:sz w:val="24"/>
          <w:szCs w:val="24"/>
        </w:rPr>
        <w:br/>
      </w:r>
      <w:r w:rsidRPr="00C14CDB">
        <w:rPr>
          <w:rFonts w:ascii="Arial" w:hAnsi="Arial" w:cs="Arial"/>
          <w:b/>
          <w:bCs/>
          <w:sz w:val="20"/>
          <w:szCs w:val="20"/>
          <w:vertAlign w:val="superscript"/>
        </w:rPr>
        <w:t xml:space="preserve">3 </w:t>
      </w:r>
      <w:r w:rsidRPr="00C14CDB">
        <w:rPr>
          <w:rFonts w:ascii="Arial" w:hAnsi="Arial" w:cs="Arial"/>
          <w:b/>
          <w:bCs/>
          <w:sz w:val="20"/>
          <w:szCs w:val="20"/>
        </w:rPr>
        <w:t>Departemen Ilmu Penyakit Mulut, Fakultas Kedokteran Gigi, Universitas Padjadjaran, Indonesia</w:t>
      </w:r>
      <w:r w:rsidRPr="00C14CDB">
        <w:rPr>
          <w:rFonts w:ascii="Arial" w:hAnsi="Arial" w:cs="Arial"/>
          <w:b/>
          <w:bCs/>
          <w:sz w:val="20"/>
          <w:szCs w:val="20"/>
        </w:rPr>
        <w:br/>
      </w:r>
      <w:r w:rsidRPr="00C14CDB">
        <w:rPr>
          <w:rFonts w:ascii="Arial" w:hAnsi="Arial" w:cs="Arial"/>
          <w:b/>
          <w:bCs/>
          <w:sz w:val="20"/>
          <w:szCs w:val="20"/>
          <w:vertAlign w:val="superscript"/>
        </w:rPr>
        <w:t xml:space="preserve">1,2,3 </w:t>
      </w:r>
      <w:r w:rsidRPr="00C14CDB">
        <w:rPr>
          <w:rFonts w:ascii="Arial" w:hAnsi="Arial" w:cs="Arial"/>
          <w:b/>
          <w:bCs/>
          <w:sz w:val="20"/>
          <w:szCs w:val="20"/>
        </w:rPr>
        <w:t>Bagian Ilmu Penyakit Mulut, KSM Gigi dan Mulut, RSUP Dr. Hasan Sadikin, Bandung, Indonesia</w:t>
      </w:r>
      <w:r w:rsidRPr="00C14CDB">
        <w:rPr>
          <w:rFonts w:ascii="Arial" w:hAnsi="Arial" w:cs="Arial"/>
          <w:b/>
          <w:bCs/>
          <w:sz w:val="20"/>
          <w:szCs w:val="20"/>
        </w:rPr>
        <w:br/>
      </w:r>
      <w:r w:rsidRPr="00C14CDB">
        <w:rPr>
          <w:rFonts w:ascii="Arial" w:hAnsi="Arial" w:cs="Arial"/>
          <w:b/>
          <w:bCs/>
          <w:sz w:val="20"/>
          <w:szCs w:val="20"/>
          <w:vertAlign w:val="superscript"/>
        </w:rPr>
        <w:t xml:space="preserve">1,2 </w:t>
      </w:r>
      <w:r w:rsidRPr="00C14CDB">
        <w:rPr>
          <w:rFonts w:ascii="Arial" w:hAnsi="Arial" w:cs="Arial"/>
          <w:b/>
          <w:bCs/>
          <w:sz w:val="20"/>
          <w:szCs w:val="20"/>
        </w:rPr>
        <w:t>Program Pendidikan Dokter Gigi Spesialis Penyakit Mulut, Fakultas Kedokteran Gigi, Universitas Padjadjaran, Indonesia</w:t>
      </w:r>
    </w:p>
    <w:p w14:paraId="76E751E9" w14:textId="6D624300" w:rsidR="00080FE6" w:rsidRPr="00C14CDB" w:rsidRDefault="00080FE6" w:rsidP="00080FE6">
      <w:pPr>
        <w:spacing w:line="360" w:lineRule="auto"/>
        <w:jc w:val="center"/>
        <w:rPr>
          <w:rFonts w:ascii="Arial" w:hAnsi="Arial" w:cs="Arial"/>
          <w:b/>
          <w:bCs/>
          <w:sz w:val="16"/>
          <w:szCs w:val="16"/>
          <w:lang w:val="id-ID"/>
        </w:rPr>
      </w:pPr>
      <w:r w:rsidRPr="00C14CDB">
        <w:rPr>
          <w:rFonts w:ascii="Arial" w:hAnsi="Arial" w:cs="Arial"/>
          <w:b/>
          <w:bCs/>
          <w:sz w:val="16"/>
          <w:szCs w:val="16"/>
          <w:lang w:val="id-ID"/>
        </w:rPr>
        <w:t xml:space="preserve">*Korespondensi: </w:t>
      </w:r>
      <w:hyperlink r:id="rId6" w:history="1">
        <w:r w:rsidR="00C14CDB" w:rsidRPr="00541970">
          <w:rPr>
            <w:rStyle w:val="Hyperlink"/>
            <w:rFonts w:ascii="Arial" w:hAnsi="Arial" w:cs="Arial"/>
            <w:b/>
            <w:bCs/>
            <w:sz w:val="16"/>
            <w:szCs w:val="16"/>
            <w:lang w:val="id-ID"/>
          </w:rPr>
          <w:t>drgdrakel@gmail.com</w:t>
        </w:r>
      </w:hyperlink>
      <w:r w:rsidR="00C14CDB">
        <w:rPr>
          <w:rFonts w:ascii="Arial" w:hAnsi="Arial" w:cs="Arial"/>
          <w:b/>
          <w:bCs/>
          <w:sz w:val="16"/>
          <w:szCs w:val="16"/>
          <w:lang w:val="id-ID"/>
        </w:rPr>
        <w:t xml:space="preserve"> </w:t>
      </w:r>
    </w:p>
    <w:p w14:paraId="233E615D" w14:textId="77777777" w:rsidR="00080FE6" w:rsidRPr="00C14CDB" w:rsidRDefault="00080FE6" w:rsidP="00080FE6">
      <w:pPr>
        <w:rPr>
          <w:rFonts w:ascii="Arial" w:hAnsi="Arial" w:cs="Arial"/>
          <w:sz w:val="24"/>
          <w:szCs w:val="24"/>
        </w:rPr>
      </w:pPr>
    </w:p>
    <w:p w14:paraId="2B2A013B" w14:textId="77777777" w:rsidR="00080FE6" w:rsidRPr="00C14CDB" w:rsidRDefault="00080FE6" w:rsidP="00080FE6">
      <w:pPr>
        <w:spacing w:line="276" w:lineRule="auto"/>
        <w:rPr>
          <w:rFonts w:ascii="Arial" w:hAnsi="Arial" w:cs="Arial"/>
          <w:b/>
          <w:sz w:val="20"/>
          <w:szCs w:val="20"/>
        </w:rPr>
      </w:pPr>
      <w:bookmarkStart w:id="1" w:name="_Hlk69725713"/>
      <w:r w:rsidRPr="00C14CDB">
        <w:rPr>
          <w:rFonts w:ascii="Arial" w:hAnsi="Arial" w:cs="Arial"/>
          <w:b/>
          <w:sz w:val="20"/>
          <w:szCs w:val="20"/>
        </w:rPr>
        <w:t>Abstrak</w:t>
      </w:r>
    </w:p>
    <w:p w14:paraId="057E031D" w14:textId="1C1ACB8C" w:rsidR="00080FE6" w:rsidRPr="00C14CDB" w:rsidRDefault="00080FE6" w:rsidP="00080FE6">
      <w:pPr>
        <w:spacing w:line="276" w:lineRule="auto"/>
        <w:jc w:val="both"/>
        <w:rPr>
          <w:rFonts w:ascii="Arial" w:hAnsi="Arial" w:cs="Arial"/>
          <w:sz w:val="20"/>
          <w:szCs w:val="20"/>
          <w:lang w:val="id-ID"/>
        </w:rPr>
      </w:pPr>
      <w:r w:rsidRPr="00C14CDB">
        <w:rPr>
          <w:rFonts w:ascii="Arial" w:hAnsi="Arial" w:cs="Arial"/>
          <w:b/>
          <w:sz w:val="20"/>
          <w:szCs w:val="20"/>
        </w:rPr>
        <w:t>Pendahuluan</w:t>
      </w:r>
      <w:r w:rsidRPr="00C14CDB">
        <w:rPr>
          <w:rFonts w:ascii="Arial" w:hAnsi="Arial" w:cs="Arial"/>
          <w:sz w:val="20"/>
          <w:szCs w:val="20"/>
        </w:rPr>
        <w:t>: Pansitopenia merupakan</w:t>
      </w:r>
      <w:r w:rsidRPr="00C14CDB">
        <w:rPr>
          <w:rFonts w:ascii="Arial" w:hAnsi="Arial" w:cs="Arial"/>
          <w:sz w:val="20"/>
          <w:szCs w:val="20"/>
          <w:lang w:val="id-ID"/>
        </w:rPr>
        <w:t xml:space="preserve"> </w:t>
      </w:r>
      <w:r w:rsidRPr="00C14CDB">
        <w:rPr>
          <w:rFonts w:ascii="Arial" w:hAnsi="Arial" w:cs="Arial"/>
          <w:sz w:val="20"/>
          <w:szCs w:val="20"/>
        </w:rPr>
        <w:t>suatu</w:t>
      </w:r>
      <w:r w:rsidRPr="00C14CDB">
        <w:rPr>
          <w:rFonts w:ascii="Arial" w:hAnsi="Arial" w:cs="Arial"/>
          <w:bCs/>
          <w:sz w:val="20"/>
          <w:szCs w:val="20"/>
          <w:shd w:val="clear" w:color="auto" w:fill="FFFFFF"/>
        </w:rPr>
        <w:t xml:space="preserve"> keadaan</w:t>
      </w:r>
      <w:r w:rsidRPr="00C14CDB">
        <w:rPr>
          <w:rFonts w:ascii="Arial" w:hAnsi="Arial" w:cs="Arial"/>
          <w:sz w:val="20"/>
          <w:szCs w:val="20"/>
          <w:shd w:val="clear" w:color="auto" w:fill="FFFFFF"/>
        </w:rPr>
        <w:t> yang ditandai oleh adanya </w:t>
      </w:r>
      <w:r w:rsidRPr="00C14CDB">
        <w:rPr>
          <w:rFonts w:ascii="Arial" w:hAnsi="Arial" w:cs="Arial"/>
          <w:sz w:val="20"/>
          <w:szCs w:val="20"/>
        </w:rPr>
        <w:t xml:space="preserve">anemia, leukopenia serta trombositopenia akibat gangguan pada sumsum tulang yang menyebabkan proses produksi sel hematopoietik menjadi tidak normal. Salah satu manifestasi </w:t>
      </w:r>
      <w:r w:rsidR="003E5CBE" w:rsidRPr="00C14CDB">
        <w:rPr>
          <w:rFonts w:ascii="Arial" w:hAnsi="Arial" w:cs="Arial"/>
          <w:sz w:val="20"/>
          <w:szCs w:val="20"/>
        </w:rPr>
        <w:t>rongga mulut</w:t>
      </w:r>
      <w:r w:rsidRPr="00C14CDB">
        <w:rPr>
          <w:rFonts w:ascii="Arial" w:hAnsi="Arial" w:cs="Arial"/>
          <w:sz w:val="20"/>
          <w:szCs w:val="20"/>
        </w:rPr>
        <w:t xml:space="preserve"> pada pansitopenia ad</w:t>
      </w:r>
      <w:r w:rsidRPr="00C14CDB">
        <w:rPr>
          <w:rFonts w:ascii="Arial" w:hAnsi="Arial" w:cs="Arial"/>
          <w:sz w:val="20"/>
          <w:szCs w:val="20"/>
          <w:lang w:val="id-ID"/>
        </w:rPr>
        <w:t>a</w:t>
      </w:r>
      <w:r w:rsidRPr="00C14CDB">
        <w:rPr>
          <w:rFonts w:ascii="Arial" w:hAnsi="Arial" w:cs="Arial"/>
          <w:sz w:val="20"/>
          <w:szCs w:val="20"/>
        </w:rPr>
        <w:t xml:space="preserve">lah perdarahan gusi. Perawatan perdarahan gusi telah banyak dilakukan dengan pemberian obat kumur feracrylum 1%, atau dengan cara mengompres lokasi pendarahan menggunakan kain kasa yang ditetesi lidokain. Laporan kasus ini bertujuan untuk memaparkan efektivitas perawatan perdarahan gusi dengan pemberian larutan asam traneksamat secara kompres dan kumur pada pasien pansitopenia yang diduga akibat anemia aplastik. </w:t>
      </w:r>
      <w:r w:rsidRPr="00C14CDB">
        <w:rPr>
          <w:rFonts w:ascii="Arial" w:hAnsi="Arial" w:cs="Arial"/>
          <w:b/>
          <w:sz w:val="20"/>
          <w:szCs w:val="20"/>
        </w:rPr>
        <w:t>Laporan Kasus:</w:t>
      </w:r>
      <w:r w:rsidRPr="00C14CDB">
        <w:rPr>
          <w:rFonts w:ascii="Arial" w:hAnsi="Arial" w:cs="Arial"/>
          <w:sz w:val="20"/>
          <w:szCs w:val="20"/>
        </w:rPr>
        <w:t xml:space="preserve"> Seorang pria berusia 50 tahun dengan keluhan lemah badan, demam, melena dan gusi berdarah sejak dua tahun yang lalu, tanpa disertai sakit pada daerah gusi dan rongga mulut. Dirawat bersama oleh bagian Ilmu Penyakit Dalam dan Ilmu Penyakit Mulut. Pemeriksaan intra</w:t>
      </w:r>
      <w:r w:rsidR="003E5CBE" w:rsidRPr="00C14CDB">
        <w:rPr>
          <w:rFonts w:ascii="Arial" w:hAnsi="Arial" w:cs="Arial"/>
          <w:sz w:val="20"/>
          <w:szCs w:val="20"/>
        </w:rPr>
        <w:t>rongga mulut</w:t>
      </w:r>
      <w:r w:rsidRPr="00C14CDB">
        <w:rPr>
          <w:rFonts w:ascii="Arial" w:hAnsi="Arial" w:cs="Arial"/>
          <w:sz w:val="20"/>
          <w:szCs w:val="20"/>
        </w:rPr>
        <w:t xml:space="preserve"> menunjukkan adanya perdarahan pada gusi regio rahang atas kiri dan bawah kiri. Pemeriksaan laboratorium menunjukkan hemoglobin: 7,1g/dL, hematokrit: 18%, eritrosit 1,46</w:t>
      </w:r>
      <w:r w:rsidRPr="00C14CDB">
        <w:rPr>
          <w:rFonts w:ascii="Arial" w:hAnsi="Arial" w:cs="Arial"/>
          <w:sz w:val="20"/>
          <w:szCs w:val="20"/>
          <w:vertAlign w:val="superscript"/>
        </w:rPr>
        <w:t>10^4</w:t>
      </w:r>
      <w:r w:rsidRPr="00C14CDB">
        <w:rPr>
          <w:rFonts w:ascii="Arial" w:hAnsi="Arial" w:cs="Arial"/>
          <w:sz w:val="20"/>
          <w:szCs w:val="20"/>
        </w:rPr>
        <w:t>/uL, leukosit 2,5</w:t>
      </w:r>
      <w:r w:rsidRPr="00C14CDB">
        <w:rPr>
          <w:rFonts w:ascii="Arial" w:hAnsi="Arial" w:cs="Arial"/>
          <w:sz w:val="20"/>
          <w:szCs w:val="20"/>
          <w:vertAlign w:val="superscript"/>
        </w:rPr>
        <w:t>10^3</w:t>
      </w:r>
      <w:r w:rsidRPr="00C14CDB">
        <w:rPr>
          <w:rFonts w:ascii="Arial" w:hAnsi="Arial" w:cs="Arial"/>
          <w:sz w:val="20"/>
          <w:szCs w:val="20"/>
        </w:rPr>
        <w:t xml:space="preserve">/uL, </w:t>
      </w:r>
      <w:r w:rsidRPr="00C14CDB">
        <w:rPr>
          <w:rFonts w:ascii="Arial" w:hAnsi="Arial" w:cs="Arial"/>
          <w:sz w:val="20"/>
          <w:szCs w:val="20"/>
          <w:lang w:val="id-ID"/>
        </w:rPr>
        <w:t>t</w:t>
      </w:r>
      <w:r w:rsidRPr="00C14CDB">
        <w:rPr>
          <w:rFonts w:ascii="Arial" w:hAnsi="Arial" w:cs="Arial"/>
          <w:sz w:val="20"/>
          <w:szCs w:val="20"/>
        </w:rPr>
        <w:t>rombosit 7,2</w:t>
      </w:r>
      <w:r w:rsidRPr="00C14CDB">
        <w:rPr>
          <w:rFonts w:ascii="Arial" w:hAnsi="Arial" w:cs="Arial"/>
          <w:sz w:val="20"/>
          <w:szCs w:val="20"/>
          <w:vertAlign w:val="superscript"/>
        </w:rPr>
        <w:t>10^4</w:t>
      </w:r>
      <w:r w:rsidRPr="00C14CDB">
        <w:rPr>
          <w:rFonts w:ascii="Arial" w:hAnsi="Arial" w:cs="Arial"/>
          <w:sz w:val="20"/>
          <w:szCs w:val="20"/>
        </w:rPr>
        <w:t>/uL. Hasil pemeriksaan sumsum tulang yang pertama sulit dinilai, sehingga direncanakan pengulangan prosedur diagnosis sementara pansitopenia dengan suspek anemia aplastik</w:t>
      </w:r>
      <w:r w:rsidRPr="00C14CDB">
        <w:rPr>
          <w:rFonts w:ascii="Arial" w:hAnsi="Arial" w:cs="Arial"/>
          <w:i/>
          <w:iCs/>
          <w:sz w:val="20"/>
          <w:szCs w:val="20"/>
        </w:rPr>
        <w:t>.</w:t>
      </w:r>
      <w:r w:rsidRPr="00C14CDB">
        <w:rPr>
          <w:rFonts w:ascii="Arial" w:hAnsi="Arial" w:cs="Arial"/>
          <w:sz w:val="20"/>
          <w:szCs w:val="20"/>
        </w:rPr>
        <w:t xml:space="preserve"> Transfusi darah telah diberikan sebanyak dua labu setiap hari selama enam hari dan telah </w:t>
      </w:r>
      <w:proofErr w:type="gramStart"/>
      <w:r w:rsidRPr="00C14CDB">
        <w:rPr>
          <w:rFonts w:ascii="Arial" w:hAnsi="Arial" w:cs="Arial"/>
          <w:sz w:val="20"/>
          <w:szCs w:val="20"/>
        </w:rPr>
        <w:t>dilakukan  kompres</w:t>
      </w:r>
      <w:proofErr w:type="gramEnd"/>
      <w:r w:rsidRPr="00C14CDB">
        <w:rPr>
          <w:rFonts w:ascii="Arial" w:hAnsi="Arial" w:cs="Arial"/>
          <w:sz w:val="20"/>
          <w:szCs w:val="20"/>
        </w:rPr>
        <w:t xml:space="preserve"> selama satu sampai tiga menit dan dilanjutkan kumur selama satu menit larutan asam traneksamat pada daerah gusi yang mengalami pendarahan. </w:t>
      </w:r>
      <w:r w:rsidRPr="00C14CDB">
        <w:rPr>
          <w:rFonts w:ascii="Arial" w:hAnsi="Arial" w:cs="Arial"/>
          <w:b/>
          <w:sz w:val="20"/>
          <w:szCs w:val="20"/>
        </w:rPr>
        <w:t>Simpulan:</w:t>
      </w:r>
      <w:r w:rsidRPr="00C14CDB">
        <w:rPr>
          <w:rFonts w:ascii="Arial" w:hAnsi="Arial" w:cs="Arial"/>
          <w:sz w:val="20"/>
          <w:szCs w:val="20"/>
        </w:rPr>
        <w:t xml:space="preserve"> Terapi kompres dan kumur asam traneksamat dapat menjadi pilihan perawatan yang sangat efektif untuk menghentikan pendarahan gusi pada pasien pansitopenia, disamping terapi tranfusi darah yang dilakukan untuk mengembalikan kadar normal komponen dalam darah</w:t>
      </w:r>
      <w:r w:rsidRPr="00C14CDB">
        <w:rPr>
          <w:rFonts w:ascii="Arial" w:hAnsi="Arial" w:cs="Arial"/>
          <w:sz w:val="20"/>
          <w:szCs w:val="20"/>
          <w:lang w:val="id-ID"/>
        </w:rPr>
        <w:t xml:space="preserve">. </w:t>
      </w:r>
    </w:p>
    <w:p w14:paraId="4E4A185F" w14:textId="77777777" w:rsidR="00080FE6" w:rsidRPr="00C14CDB" w:rsidRDefault="00080FE6" w:rsidP="00080FE6">
      <w:pPr>
        <w:spacing w:line="276" w:lineRule="auto"/>
        <w:jc w:val="both"/>
        <w:rPr>
          <w:rFonts w:ascii="Arial" w:hAnsi="Arial" w:cs="Arial"/>
          <w:sz w:val="20"/>
          <w:szCs w:val="20"/>
          <w:lang w:val="id-ID"/>
        </w:rPr>
      </w:pPr>
      <w:r w:rsidRPr="00C14CDB">
        <w:rPr>
          <w:rFonts w:ascii="Arial" w:hAnsi="Arial" w:cs="Arial"/>
          <w:b/>
          <w:sz w:val="20"/>
          <w:szCs w:val="20"/>
        </w:rPr>
        <w:t xml:space="preserve">Kata </w:t>
      </w:r>
      <w:proofErr w:type="gramStart"/>
      <w:r w:rsidRPr="00C14CDB">
        <w:rPr>
          <w:rFonts w:ascii="Arial" w:hAnsi="Arial" w:cs="Arial"/>
          <w:b/>
          <w:sz w:val="20"/>
          <w:szCs w:val="20"/>
        </w:rPr>
        <w:t>Kunci :</w:t>
      </w:r>
      <w:proofErr w:type="gramEnd"/>
      <w:r w:rsidRPr="00C14CDB">
        <w:rPr>
          <w:rFonts w:ascii="Arial" w:hAnsi="Arial" w:cs="Arial"/>
          <w:sz w:val="20"/>
          <w:szCs w:val="20"/>
        </w:rPr>
        <w:t xml:space="preserve"> Anemia aplastik, asam traneksamat, pansitopenia, perdarahan gusi.</w:t>
      </w:r>
    </w:p>
    <w:p w14:paraId="0B95CE21" w14:textId="77777777" w:rsidR="00080FE6" w:rsidRPr="00C14CDB" w:rsidRDefault="00080FE6" w:rsidP="00080FE6">
      <w:pPr>
        <w:jc w:val="both"/>
        <w:rPr>
          <w:rFonts w:ascii="Arial" w:hAnsi="Arial" w:cs="Arial"/>
          <w:sz w:val="24"/>
          <w:szCs w:val="24"/>
          <w:lang w:val="id-ID"/>
        </w:rPr>
      </w:pPr>
    </w:p>
    <w:bookmarkEnd w:id="1"/>
    <w:p w14:paraId="0D1184C2" w14:textId="77777777" w:rsidR="00080FE6" w:rsidRPr="00C14CDB" w:rsidRDefault="00080FE6" w:rsidP="00080FE6">
      <w:pPr>
        <w:jc w:val="both"/>
        <w:rPr>
          <w:rFonts w:ascii="Arial" w:hAnsi="Arial" w:cs="Arial"/>
          <w:sz w:val="24"/>
          <w:szCs w:val="24"/>
          <w:lang w:val="id-ID"/>
        </w:rPr>
      </w:pPr>
    </w:p>
    <w:p w14:paraId="741EC5DD" w14:textId="77777777" w:rsidR="00080FE6" w:rsidRPr="00C14CDB" w:rsidRDefault="00080FE6" w:rsidP="00080FE6">
      <w:pPr>
        <w:jc w:val="both"/>
        <w:rPr>
          <w:rFonts w:ascii="Arial" w:hAnsi="Arial" w:cs="Arial"/>
          <w:sz w:val="24"/>
          <w:szCs w:val="24"/>
          <w:lang w:val="id-ID"/>
        </w:rPr>
      </w:pPr>
    </w:p>
    <w:p w14:paraId="5B99A2C0" w14:textId="77777777" w:rsidR="00080FE6" w:rsidRPr="00C14CDB" w:rsidRDefault="00080FE6" w:rsidP="00080FE6">
      <w:pPr>
        <w:rPr>
          <w:rFonts w:ascii="Arial" w:hAnsi="Arial" w:cs="Arial"/>
        </w:rPr>
      </w:pPr>
    </w:p>
    <w:p w14:paraId="0F04FDDB" w14:textId="77777777" w:rsidR="00DC2F98" w:rsidRPr="00C14CDB" w:rsidRDefault="00DC2F98" w:rsidP="00D722C0">
      <w:pPr>
        <w:jc w:val="both"/>
        <w:rPr>
          <w:rFonts w:ascii="Arial" w:hAnsi="Arial" w:cs="Arial"/>
          <w:sz w:val="24"/>
          <w:szCs w:val="24"/>
          <w:lang w:val="id-ID"/>
        </w:rPr>
      </w:pPr>
    </w:p>
    <w:bookmarkEnd w:id="0"/>
    <w:p w14:paraId="36163CE6" w14:textId="77777777" w:rsidR="00296080" w:rsidRPr="00C14CDB" w:rsidRDefault="00296080" w:rsidP="00D722C0">
      <w:pPr>
        <w:jc w:val="both"/>
        <w:rPr>
          <w:rFonts w:ascii="Arial" w:hAnsi="Arial" w:cs="Arial"/>
          <w:sz w:val="24"/>
          <w:szCs w:val="24"/>
          <w:lang w:val="id-ID"/>
        </w:rPr>
      </w:pPr>
    </w:p>
    <w:p w14:paraId="5ABD8C6D" w14:textId="58A70A3C" w:rsidR="00C14CDB" w:rsidRPr="00C14CDB" w:rsidRDefault="00C14CDB" w:rsidP="00C14CDB">
      <w:pPr>
        <w:spacing w:line="360" w:lineRule="auto"/>
        <w:jc w:val="center"/>
        <w:rPr>
          <w:rFonts w:ascii="Arial" w:hAnsi="Arial" w:cs="Arial"/>
          <w:b/>
          <w:sz w:val="28"/>
          <w:szCs w:val="28"/>
        </w:rPr>
      </w:pPr>
      <w:r w:rsidRPr="00C14CDB">
        <w:rPr>
          <w:rFonts w:ascii="Arial" w:hAnsi="Arial" w:cs="Arial"/>
          <w:b/>
          <w:sz w:val="28"/>
          <w:szCs w:val="28"/>
        </w:rPr>
        <w:lastRenderedPageBreak/>
        <w:t xml:space="preserve">Management of </w:t>
      </w:r>
      <w:r w:rsidR="00BB7E74">
        <w:rPr>
          <w:rFonts w:ascii="Arial" w:hAnsi="Arial" w:cs="Arial"/>
          <w:b/>
          <w:sz w:val="28"/>
          <w:szCs w:val="28"/>
          <w:lang w:val="id-ID"/>
        </w:rPr>
        <w:t>gingival</w:t>
      </w:r>
      <w:r w:rsidRPr="00C14CDB">
        <w:rPr>
          <w:rFonts w:ascii="Arial" w:hAnsi="Arial" w:cs="Arial"/>
          <w:b/>
          <w:sz w:val="28"/>
          <w:szCs w:val="28"/>
        </w:rPr>
        <w:t xml:space="preserve"> bleeding due to pancytopenia in patients with suspected aplastic anemia: a case report</w:t>
      </w:r>
    </w:p>
    <w:p w14:paraId="21952109" w14:textId="77777777" w:rsidR="00C14CDB" w:rsidRPr="00D46C80" w:rsidRDefault="00C14CDB" w:rsidP="00D46C80">
      <w:pPr>
        <w:spacing w:line="240" w:lineRule="auto"/>
        <w:jc w:val="center"/>
        <w:rPr>
          <w:rFonts w:ascii="Arial" w:hAnsi="Arial" w:cs="Arial"/>
          <w:b/>
          <w:sz w:val="20"/>
          <w:szCs w:val="20"/>
        </w:rPr>
      </w:pPr>
      <w:r w:rsidRPr="00D46C80">
        <w:rPr>
          <w:rFonts w:ascii="Arial" w:hAnsi="Arial" w:cs="Arial"/>
          <w:b/>
          <w:sz w:val="20"/>
          <w:szCs w:val="20"/>
        </w:rPr>
        <w:t>Fika Faradillah Drakel</w:t>
      </w:r>
      <w:r w:rsidRPr="00D46C80">
        <w:rPr>
          <w:rFonts w:ascii="Arial" w:hAnsi="Arial" w:cs="Arial"/>
          <w:b/>
          <w:sz w:val="20"/>
          <w:szCs w:val="20"/>
          <w:vertAlign w:val="superscript"/>
        </w:rPr>
        <w:t>1</w:t>
      </w:r>
      <w:r w:rsidRPr="00D46C80">
        <w:rPr>
          <w:rFonts w:ascii="Arial" w:hAnsi="Arial" w:cs="Arial"/>
          <w:b/>
          <w:sz w:val="20"/>
          <w:szCs w:val="20"/>
        </w:rPr>
        <w:t>, Dewi Zakiawati</w:t>
      </w:r>
      <w:r w:rsidRPr="00D46C80">
        <w:rPr>
          <w:rFonts w:ascii="Arial" w:hAnsi="Arial" w:cs="Arial"/>
          <w:b/>
          <w:sz w:val="20"/>
          <w:szCs w:val="20"/>
          <w:vertAlign w:val="superscript"/>
        </w:rPr>
        <w:t>2</w:t>
      </w:r>
      <w:r w:rsidRPr="00D46C80">
        <w:rPr>
          <w:rFonts w:ascii="Arial" w:hAnsi="Arial" w:cs="Arial"/>
          <w:b/>
          <w:sz w:val="20"/>
          <w:szCs w:val="20"/>
        </w:rPr>
        <w:t>, Nanan Nur'aeny</w:t>
      </w:r>
      <w:r w:rsidRPr="00D46C80">
        <w:rPr>
          <w:rFonts w:ascii="Arial" w:hAnsi="Arial" w:cs="Arial"/>
          <w:b/>
          <w:sz w:val="20"/>
          <w:szCs w:val="20"/>
          <w:vertAlign w:val="superscript"/>
        </w:rPr>
        <w:t>3</w:t>
      </w:r>
    </w:p>
    <w:p w14:paraId="71211E33" w14:textId="77BC5A61" w:rsidR="00C14CDB" w:rsidRPr="00D46C80" w:rsidRDefault="00C14CDB" w:rsidP="00D46C80">
      <w:pPr>
        <w:spacing w:line="240" w:lineRule="auto"/>
        <w:jc w:val="center"/>
        <w:rPr>
          <w:rFonts w:ascii="Arial" w:hAnsi="Arial" w:cs="Arial"/>
          <w:b/>
          <w:sz w:val="20"/>
          <w:szCs w:val="20"/>
          <w:lang w:val="id-ID"/>
        </w:rPr>
      </w:pPr>
      <w:r w:rsidRPr="00D46C80">
        <w:rPr>
          <w:rFonts w:ascii="Arial" w:hAnsi="Arial" w:cs="Arial"/>
          <w:b/>
          <w:sz w:val="20"/>
          <w:szCs w:val="20"/>
          <w:vertAlign w:val="superscript"/>
        </w:rPr>
        <w:t>3</w:t>
      </w:r>
      <w:r w:rsidRPr="00D46C80">
        <w:rPr>
          <w:rFonts w:ascii="Arial" w:hAnsi="Arial" w:cs="Arial"/>
          <w:b/>
          <w:sz w:val="20"/>
          <w:szCs w:val="20"/>
        </w:rPr>
        <w:t>Department of Oral Medicine, Faculty of Dentistry, Padjadjaran University, Indonesia</w:t>
      </w:r>
    </w:p>
    <w:p w14:paraId="1E9072C1" w14:textId="2578F588" w:rsidR="00C14CDB" w:rsidRPr="00D46C80" w:rsidRDefault="00C14CDB" w:rsidP="00D46C80">
      <w:pPr>
        <w:spacing w:line="240" w:lineRule="auto"/>
        <w:jc w:val="center"/>
        <w:rPr>
          <w:rFonts w:ascii="Arial" w:hAnsi="Arial" w:cs="Arial"/>
          <w:b/>
          <w:sz w:val="20"/>
          <w:szCs w:val="20"/>
        </w:rPr>
      </w:pPr>
      <w:r w:rsidRPr="00D46C80">
        <w:rPr>
          <w:rFonts w:ascii="Arial" w:hAnsi="Arial" w:cs="Arial"/>
          <w:b/>
          <w:sz w:val="20"/>
          <w:szCs w:val="20"/>
          <w:vertAlign w:val="superscript"/>
        </w:rPr>
        <w:t>1</w:t>
      </w:r>
      <w:proofErr w:type="gramStart"/>
      <w:r w:rsidRPr="00D46C80">
        <w:rPr>
          <w:rFonts w:ascii="Arial" w:hAnsi="Arial" w:cs="Arial"/>
          <w:b/>
          <w:sz w:val="20"/>
          <w:szCs w:val="20"/>
          <w:vertAlign w:val="superscript"/>
        </w:rPr>
        <w:t>,2,3</w:t>
      </w:r>
      <w:r w:rsidRPr="00D46C80">
        <w:rPr>
          <w:rFonts w:ascii="Arial" w:hAnsi="Arial" w:cs="Arial"/>
          <w:b/>
          <w:sz w:val="20"/>
          <w:szCs w:val="20"/>
        </w:rPr>
        <w:t>Division</w:t>
      </w:r>
      <w:proofErr w:type="gramEnd"/>
      <w:r w:rsidRPr="00D46C80">
        <w:rPr>
          <w:rFonts w:ascii="Arial" w:hAnsi="Arial" w:cs="Arial"/>
          <w:b/>
          <w:sz w:val="20"/>
          <w:szCs w:val="20"/>
        </w:rPr>
        <w:t xml:space="preserve"> of Oral Medicine, Dental and Oral KSM, Dr. Hasan Sadikin Hospital, Bandung, Indonesia</w:t>
      </w:r>
    </w:p>
    <w:p w14:paraId="268F2311" w14:textId="77777777" w:rsidR="00C14CDB" w:rsidRPr="00D46C80" w:rsidRDefault="00C14CDB" w:rsidP="00D46C80">
      <w:pPr>
        <w:spacing w:line="240" w:lineRule="auto"/>
        <w:jc w:val="center"/>
        <w:rPr>
          <w:rFonts w:ascii="Arial" w:hAnsi="Arial" w:cs="Arial"/>
          <w:b/>
          <w:sz w:val="20"/>
          <w:szCs w:val="20"/>
        </w:rPr>
      </w:pPr>
      <w:r w:rsidRPr="00D46C80">
        <w:rPr>
          <w:rFonts w:ascii="Arial" w:hAnsi="Arial" w:cs="Arial"/>
          <w:b/>
          <w:sz w:val="20"/>
          <w:szCs w:val="20"/>
          <w:vertAlign w:val="superscript"/>
        </w:rPr>
        <w:t>1,2</w:t>
      </w:r>
      <w:r w:rsidRPr="00D46C80">
        <w:rPr>
          <w:rFonts w:ascii="Arial" w:hAnsi="Arial" w:cs="Arial"/>
          <w:b/>
          <w:sz w:val="20"/>
          <w:szCs w:val="20"/>
        </w:rPr>
        <w:t>Dental Education Program for Oral Medicine Specialist, Faculty of Dentistry, Padjadjaran University, Indonesia</w:t>
      </w:r>
    </w:p>
    <w:p w14:paraId="5C410B8E" w14:textId="5AA56963" w:rsidR="00C14CDB" w:rsidRPr="00D46C80" w:rsidRDefault="0028266E" w:rsidP="00D46C80">
      <w:pPr>
        <w:spacing w:line="240" w:lineRule="auto"/>
        <w:jc w:val="center"/>
        <w:rPr>
          <w:rFonts w:ascii="Arial" w:hAnsi="Arial" w:cs="Arial"/>
          <w:b/>
          <w:sz w:val="16"/>
          <w:szCs w:val="16"/>
          <w:lang w:val="id-ID"/>
        </w:rPr>
      </w:pPr>
      <w:r w:rsidRPr="00D46C80">
        <w:rPr>
          <w:rFonts w:ascii="Arial" w:hAnsi="Arial" w:cs="Arial"/>
          <w:b/>
          <w:sz w:val="16"/>
          <w:szCs w:val="16"/>
        </w:rPr>
        <w:t>*</w:t>
      </w:r>
      <w:r w:rsidR="00C14CDB" w:rsidRPr="00D46C80">
        <w:rPr>
          <w:rFonts w:ascii="Arial" w:hAnsi="Arial" w:cs="Arial"/>
          <w:b/>
          <w:sz w:val="16"/>
          <w:szCs w:val="16"/>
        </w:rPr>
        <w:t xml:space="preserve">Correspondence: </w:t>
      </w:r>
      <w:hyperlink r:id="rId7" w:history="1">
        <w:r w:rsidRPr="00D46C80">
          <w:rPr>
            <w:rStyle w:val="Hyperlink"/>
            <w:rFonts w:ascii="Arial" w:hAnsi="Arial" w:cs="Arial"/>
            <w:b/>
            <w:sz w:val="16"/>
            <w:szCs w:val="16"/>
          </w:rPr>
          <w:t>drgdrakel@gmail.com</w:t>
        </w:r>
      </w:hyperlink>
      <w:r w:rsidRPr="00D46C80">
        <w:rPr>
          <w:rFonts w:ascii="Arial" w:hAnsi="Arial" w:cs="Arial"/>
          <w:b/>
          <w:sz w:val="16"/>
          <w:szCs w:val="16"/>
          <w:lang w:val="id-ID"/>
        </w:rPr>
        <w:t xml:space="preserve"> </w:t>
      </w:r>
    </w:p>
    <w:p w14:paraId="46653242" w14:textId="77777777" w:rsidR="00C14CDB" w:rsidRPr="0028266E" w:rsidRDefault="00C14CDB" w:rsidP="0028266E">
      <w:pPr>
        <w:spacing w:line="360" w:lineRule="auto"/>
        <w:jc w:val="center"/>
        <w:rPr>
          <w:rFonts w:ascii="Arial" w:hAnsi="Arial" w:cs="Arial"/>
          <w:sz w:val="16"/>
          <w:szCs w:val="16"/>
        </w:rPr>
      </w:pPr>
    </w:p>
    <w:p w14:paraId="3345E87E" w14:textId="77777777" w:rsidR="00C14CDB" w:rsidRPr="0028266E" w:rsidRDefault="00C14CDB" w:rsidP="0028266E">
      <w:pPr>
        <w:spacing w:line="240" w:lineRule="auto"/>
        <w:jc w:val="both"/>
        <w:rPr>
          <w:rFonts w:ascii="Arial" w:hAnsi="Arial" w:cs="Arial"/>
          <w:b/>
          <w:sz w:val="20"/>
          <w:szCs w:val="20"/>
        </w:rPr>
      </w:pPr>
      <w:r w:rsidRPr="0028266E">
        <w:rPr>
          <w:rFonts w:ascii="Arial" w:hAnsi="Arial" w:cs="Arial"/>
          <w:b/>
          <w:sz w:val="20"/>
          <w:szCs w:val="20"/>
        </w:rPr>
        <w:t>Abstract</w:t>
      </w:r>
    </w:p>
    <w:p w14:paraId="1BF4ED70" w14:textId="7B5C82FD" w:rsidR="00C14CDB" w:rsidRPr="0028266E" w:rsidRDefault="00C14CDB" w:rsidP="0028266E">
      <w:pPr>
        <w:spacing w:line="240" w:lineRule="auto"/>
        <w:jc w:val="both"/>
        <w:rPr>
          <w:rFonts w:ascii="Arial" w:hAnsi="Arial" w:cs="Arial"/>
          <w:sz w:val="20"/>
          <w:szCs w:val="20"/>
        </w:rPr>
      </w:pPr>
      <w:r w:rsidRPr="00D46C80">
        <w:rPr>
          <w:rFonts w:ascii="Arial" w:hAnsi="Arial" w:cs="Arial"/>
          <w:b/>
          <w:sz w:val="20"/>
          <w:szCs w:val="20"/>
        </w:rPr>
        <w:t>Introduction</w:t>
      </w:r>
      <w:r w:rsidRPr="0028266E">
        <w:rPr>
          <w:rFonts w:ascii="Arial" w:hAnsi="Arial" w:cs="Arial"/>
          <w:sz w:val="20"/>
          <w:szCs w:val="20"/>
        </w:rPr>
        <w:t xml:space="preserve">: Pancytopenia is a condition characterized by anemia, leukopenia and thrombocytopenia due to bone marrow disorders that cause abnormality in production process of hematopoietic cells. One of the pancytopenia oral manifestations is gums bleeding. Gums bleeding treatment commonly use 1% feracrylum mouthwash, or by compressing the bleeding site using gauze dripped with lidocaine. This case report was purposed to describe the effectiveness of gums bleeding treatment which was carried out by administering a compressed solution of tranexamic acid and gargling in a patient with pancytopenia who was suspected by aplastic anemia. </w:t>
      </w:r>
      <w:r w:rsidRPr="00D46C80">
        <w:rPr>
          <w:rFonts w:ascii="Arial" w:hAnsi="Arial" w:cs="Arial"/>
          <w:b/>
          <w:sz w:val="20"/>
          <w:szCs w:val="20"/>
        </w:rPr>
        <w:t>Case Report:</w:t>
      </w:r>
      <w:r w:rsidRPr="0028266E">
        <w:rPr>
          <w:rFonts w:ascii="Arial" w:hAnsi="Arial" w:cs="Arial"/>
          <w:sz w:val="20"/>
          <w:szCs w:val="20"/>
        </w:rPr>
        <w:t xml:space="preserve"> A 50 years old man has experienced weakness, fever, melena and gums bleeding since two years ago, without pain in the gum area and oral cavity. He was treated by the cooperation between Department of Internal Medicine and Oral Medicine. Intra-oral examination revealed bleeding in the gums of the left maxillary and left mandibular regions. Laboratory </w:t>
      </w:r>
      <w:r w:rsidR="00D46C80">
        <w:rPr>
          <w:rFonts w:ascii="Arial" w:hAnsi="Arial" w:cs="Arial"/>
          <w:sz w:val="20"/>
          <w:szCs w:val="20"/>
        </w:rPr>
        <w:t>tests showed hemoglobin: 7.1g /</w:t>
      </w:r>
      <w:r w:rsidRPr="0028266E">
        <w:rPr>
          <w:rFonts w:ascii="Arial" w:hAnsi="Arial" w:cs="Arial"/>
          <w:sz w:val="20"/>
          <w:szCs w:val="20"/>
        </w:rPr>
        <w:t>dL, hemat</w:t>
      </w:r>
      <w:r w:rsidR="00D46C80">
        <w:rPr>
          <w:rFonts w:ascii="Arial" w:hAnsi="Arial" w:cs="Arial"/>
          <w:sz w:val="20"/>
          <w:szCs w:val="20"/>
        </w:rPr>
        <w:t>ocrit: 18%, erythrocytes 1.4610^4 / uL, leukocytes 2.510^3/</w:t>
      </w:r>
      <w:r w:rsidRPr="0028266E">
        <w:rPr>
          <w:rFonts w:ascii="Arial" w:hAnsi="Arial" w:cs="Arial"/>
          <w:sz w:val="20"/>
          <w:szCs w:val="20"/>
        </w:rPr>
        <w:t xml:space="preserve">uL, platelets </w:t>
      </w:r>
      <w:r w:rsidR="00D46C80">
        <w:rPr>
          <w:rFonts w:ascii="Arial" w:hAnsi="Arial" w:cs="Arial"/>
          <w:sz w:val="20"/>
          <w:szCs w:val="20"/>
        </w:rPr>
        <w:t>7,210^</w:t>
      </w:r>
      <w:r w:rsidRPr="0028266E">
        <w:rPr>
          <w:rFonts w:ascii="Arial" w:hAnsi="Arial" w:cs="Arial"/>
          <w:sz w:val="20"/>
          <w:szCs w:val="20"/>
        </w:rPr>
        <w:t xml:space="preserve">4 /uL. The results of the first bone marrow examination were difficult to be assessed, so it was planned to repeat the provisional diagnostic procedure for pancytopenia with suspected aplastic anemia. Two blood transfusions have been given as many as two flasks every day for six days and compressed for one to three minutes and continued by tranexamic acid solution gargling for one minute on the bleeding gum area. </w:t>
      </w:r>
      <w:r w:rsidRPr="00D46C80">
        <w:rPr>
          <w:rFonts w:ascii="Arial" w:hAnsi="Arial" w:cs="Arial"/>
          <w:b/>
          <w:sz w:val="20"/>
          <w:szCs w:val="20"/>
        </w:rPr>
        <w:t>Conclusion:</w:t>
      </w:r>
      <w:r w:rsidRPr="0028266E">
        <w:rPr>
          <w:rFonts w:ascii="Arial" w:hAnsi="Arial" w:cs="Arial"/>
          <w:sz w:val="20"/>
          <w:szCs w:val="20"/>
        </w:rPr>
        <w:t xml:space="preserve"> Tranexamic acid compressing and gargling therapy could be a very effective treatment option to stop the gums bleeding in patients with pancytopenia, in addition to blood transfusion therapy which was used to restore normal levels of components in the blood.</w:t>
      </w:r>
    </w:p>
    <w:p w14:paraId="1E4595FD" w14:textId="77777777" w:rsidR="00C14CDB" w:rsidRPr="0028266E" w:rsidRDefault="00C14CDB" w:rsidP="0028266E">
      <w:pPr>
        <w:spacing w:line="240" w:lineRule="auto"/>
        <w:jc w:val="both"/>
        <w:rPr>
          <w:rFonts w:ascii="Arial" w:hAnsi="Arial" w:cs="Arial"/>
          <w:sz w:val="20"/>
          <w:szCs w:val="20"/>
        </w:rPr>
      </w:pPr>
      <w:r w:rsidRPr="0028266E">
        <w:rPr>
          <w:rFonts w:ascii="Arial" w:hAnsi="Arial" w:cs="Arial"/>
          <w:b/>
          <w:sz w:val="20"/>
          <w:szCs w:val="20"/>
        </w:rPr>
        <w:t>Keywords:</w:t>
      </w:r>
      <w:r w:rsidRPr="0028266E">
        <w:rPr>
          <w:rFonts w:ascii="Arial" w:hAnsi="Arial" w:cs="Arial"/>
          <w:sz w:val="20"/>
          <w:szCs w:val="20"/>
        </w:rPr>
        <w:t xml:space="preserve"> Aplastic anemia, tranexamic acid, pancytopenia, gums bleeding.</w:t>
      </w:r>
    </w:p>
    <w:p w14:paraId="1B7276C5" w14:textId="77777777" w:rsidR="00C14CDB" w:rsidRPr="0028266E" w:rsidRDefault="00C14CDB" w:rsidP="0028266E">
      <w:pPr>
        <w:spacing w:line="240" w:lineRule="auto"/>
        <w:rPr>
          <w:rFonts w:ascii="Arial" w:hAnsi="Arial" w:cs="Arial"/>
          <w:b/>
          <w:sz w:val="20"/>
          <w:szCs w:val="20"/>
        </w:rPr>
      </w:pPr>
      <w:r w:rsidRPr="0028266E">
        <w:rPr>
          <w:rFonts w:ascii="Arial" w:hAnsi="Arial" w:cs="Arial"/>
          <w:b/>
          <w:sz w:val="20"/>
          <w:szCs w:val="20"/>
        </w:rPr>
        <w:br w:type="page"/>
      </w:r>
    </w:p>
    <w:p w14:paraId="1561718A" w14:textId="3C622000" w:rsidR="00DC2F98" w:rsidRPr="00C14CDB" w:rsidRDefault="00DC2F98" w:rsidP="005174E2">
      <w:pPr>
        <w:spacing w:line="360" w:lineRule="auto"/>
        <w:jc w:val="both"/>
        <w:rPr>
          <w:rFonts w:ascii="Arial" w:hAnsi="Arial" w:cs="Arial"/>
          <w:b/>
          <w:sz w:val="24"/>
          <w:szCs w:val="24"/>
        </w:rPr>
      </w:pPr>
      <w:r w:rsidRPr="00C14CDB">
        <w:rPr>
          <w:rFonts w:ascii="Arial" w:hAnsi="Arial" w:cs="Arial"/>
          <w:b/>
          <w:sz w:val="24"/>
          <w:szCs w:val="24"/>
        </w:rPr>
        <w:lastRenderedPageBreak/>
        <w:t>Pendahuluan</w:t>
      </w:r>
    </w:p>
    <w:p w14:paraId="564D7CFE" w14:textId="76AE2863" w:rsidR="00DC2F98" w:rsidRPr="00C14CDB" w:rsidRDefault="00DC2F98" w:rsidP="005174E2">
      <w:pPr>
        <w:autoSpaceDE w:val="0"/>
        <w:autoSpaceDN w:val="0"/>
        <w:adjustRightInd w:val="0"/>
        <w:spacing w:after="0" w:line="360" w:lineRule="auto"/>
        <w:jc w:val="both"/>
        <w:rPr>
          <w:rFonts w:ascii="Arial" w:hAnsi="Arial" w:cs="Arial"/>
          <w:color w:val="000000"/>
          <w:sz w:val="24"/>
          <w:szCs w:val="24"/>
        </w:rPr>
      </w:pPr>
      <w:r w:rsidRPr="00C14CDB">
        <w:rPr>
          <w:rFonts w:ascii="Arial" w:hAnsi="Arial" w:cs="Arial"/>
          <w:sz w:val="24"/>
          <w:szCs w:val="24"/>
        </w:rPr>
        <w:tab/>
      </w:r>
      <w:r w:rsidR="0090709A" w:rsidRPr="00C14CDB">
        <w:rPr>
          <w:rFonts w:ascii="Arial" w:hAnsi="Arial" w:cs="Arial"/>
          <w:sz w:val="24"/>
          <w:szCs w:val="24"/>
        </w:rPr>
        <w:t>Pansitopenia</w:t>
      </w:r>
      <w:r w:rsidRPr="00C14CDB">
        <w:rPr>
          <w:rFonts w:ascii="Arial" w:hAnsi="Arial" w:cs="Arial"/>
          <w:sz w:val="24"/>
          <w:szCs w:val="24"/>
        </w:rPr>
        <w:t xml:space="preserve"> merupakan suatu keadaan yang menunjukkan terjadinya penurunan ketiga unsur utama darah yang mungkin terjadi akibat sejumlah proses penyakit.</w:t>
      </w:r>
      <w:r w:rsidR="00083F26"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{"citationItems":[{"id":"ITEM-1","itemData":{"DOI":"10.12669/pjms.295.3458","ISSN":"1682024X","PMID":"24353701","abstract":"Objective: The objective of this study was to determine the frequency of common causes leading to Pancytopenia in patients presenting to tertiary care hospital at Karachi. Methods: A total of 62 patients with the diagnosis of Pancytopenia of more than one week duration were enrolled in the study. All patients underwent a detailed medical history and full physical examination followed by blood sampling for the investigations i.e. complete blood count with peripheral film, erythrocyte sedimentation rate (ESR), Malarial parasites (MP), liver function test, Renal function tests, PT and viral profile (HBsAg, Anti-HCV), Ultrasonography of abdomen. All patients underwent bone marrow aspiration and trephine biopsy for reporting and interpretation. Duration of study was six months, from May 2010 to November 2010. Results: The average age of the patients was 37.76 ± 16.38years. Out of 62 patients, 36 (58%) were male and 26 (42%) were female. Megaloblastic anemia was the commonest cause that was observed in 41.9% cases followed by acute myeloid leukemia 27.4%, aplastic anemia 19.4% and erythroid hyperplasia 11.3%. Conclusion: This study concluded that most common cause of pancytopenia is Megaloblastic anemia, followed by acute myeloid leukemia and aplastic anemia. Bone marrow examination is a single useful investigation which reveals the underlying cause in patients with pancytopenia.","author":[{"dropping-particle":"Das","family":"Makheja","given":"Kirpal","non-dropping-particle":"","parse-names":false,"suffix":""},{"dropping-particle":"","family":"Maheshwari","given":"Bharat Kumar","non-dropping-particle":"","parse-names":false,"suffix":""},{"dropping-particle":"","family":"Arain","given":"Shafique","non-dropping-particle":"","parse-names":false,"suffix":""},{"dropping-particle":"","family":"Kumar","given":"Suneel","non-dropping-particle":"","parse-names":false,"suffix":""},{"dropping-particle":"","family":"Kumari","given":"Sangeeta","non-dropping-particle":"","parse-names":false,"suffix":""},{"dropping-particle":"","family":"Vikash","given":"","non-dropping-particle":"","parse-names":false,"suffix":""}],"container-title":"Pakistan Journal of Medical Sciences","id":"ITEM-1","issue":"5","issued":{"date-parts":[["2013"]]},"page":"1108-1111","title":"The common causes leading to pancytopenia in patients presenting to tertiary care hospital","type":"article-journal","volume":"29"},"uris":["http://www.mendeley.com/documents/?uuid=ba601f0c-c481-497a-b46c-5426613679b5"]}],"mendeley":{"formattedCitation":"&lt;sup&gt;1&lt;/sup&gt;","plainTextFormattedCitation":"1","previouslyFormattedCitation":"&lt;sup&gt;1&lt;/sup&gt;"},"properties":{"noteIndex":0},"schema":"https://github.com/citation-style-language/schema/raw/master/csl-citation.json"}</w:instrText>
      </w:r>
      <w:r w:rsidR="00083F26" w:rsidRPr="00C14CDB">
        <w:rPr>
          <w:rFonts w:ascii="Arial" w:hAnsi="Arial" w:cs="Arial"/>
          <w:sz w:val="24"/>
          <w:szCs w:val="24"/>
        </w:rPr>
        <w:fldChar w:fldCharType="separate"/>
      </w:r>
      <w:r w:rsidR="00083F26" w:rsidRPr="00C14CDB">
        <w:rPr>
          <w:rFonts w:ascii="Arial" w:hAnsi="Arial" w:cs="Arial"/>
          <w:noProof/>
          <w:sz w:val="24"/>
          <w:szCs w:val="24"/>
          <w:vertAlign w:val="superscript"/>
        </w:rPr>
        <w:t>1</w:t>
      </w:r>
      <w:r w:rsidR="00083F26" w:rsidRPr="00C14CDB">
        <w:rPr>
          <w:rFonts w:ascii="Arial" w:hAnsi="Arial" w:cs="Arial"/>
          <w:sz w:val="24"/>
          <w:szCs w:val="24"/>
        </w:rPr>
        <w:fldChar w:fldCharType="end"/>
      </w:r>
      <w:r w:rsidR="007F78FB" w:rsidRPr="00C14CDB">
        <w:rPr>
          <w:rFonts w:ascii="Arial" w:hAnsi="Arial" w:cs="Arial"/>
          <w:sz w:val="24"/>
          <w:szCs w:val="24"/>
          <w:lang w:val="id-ID"/>
        </w:rPr>
        <w:t xml:space="preserve"> </w:t>
      </w:r>
      <w:r w:rsidR="0090709A" w:rsidRPr="00C14CDB">
        <w:rPr>
          <w:rFonts w:ascii="Arial" w:hAnsi="Arial" w:cs="Arial"/>
          <w:sz w:val="24"/>
          <w:szCs w:val="24"/>
          <w:lang w:val="id-ID"/>
        </w:rPr>
        <w:t>Pansitopenia</w:t>
      </w:r>
      <w:r w:rsidR="007F78FB" w:rsidRPr="00C14CDB">
        <w:rPr>
          <w:rFonts w:ascii="Arial" w:hAnsi="Arial" w:cs="Arial"/>
          <w:sz w:val="24"/>
          <w:szCs w:val="24"/>
          <w:lang w:val="id-ID"/>
        </w:rPr>
        <w:t xml:space="preserve"> dapat di kaitkan dengan anemia aplastik, </w:t>
      </w:r>
      <w:r w:rsidR="007F78FB" w:rsidRPr="00C14CDB">
        <w:rPr>
          <w:rFonts w:ascii="Arial" w:hAnsi="Arial" w:cs="Arial"/>
          <w:sz w:val="24"/>
          <w:szCs w:val="24"/>
        </w:rPr>
        <w:t xml:space="preserve">Anemia aplastik adalah kelainan hematologi yang ditandai dengan hipoplastik sumsum tulang dan </w:t>
      </w:r>
      <w:r w:rsidR="0090709A" w:rsidRPr="00C14CDB">
        <w:rPr>
          <w:rFonts w:ascii="Arial" w:hAnsi="Arial" w:cs="Arial"/>
          <w:sz w:val="24"/>
          <w:szCs w:val="24"/>
        </w:rPr>
        <w:t>Pansitopenia</w:t>
      </w:r>
      <w:r w:rsidR="007F78FB" w:rsidRPr="00C14CDB">
        <w:rPr>
          <w:rFonts w:ascii="Arial" w:hAnsi="Arial" w:cs="Arial"/>
          <w:sz w:val="24"/>
          <w:szCs w:val="24"/>
          <w:lang w:val="id-ID"/>
        </w:rPr>
        <w:t xml:space="preserve"> </w:t>
      </w:r>
      <w:r w:rsidR="007F78FB" w:rsidRPr="00C14CDB">
        <w:rPr>
          <w:rFonts w:ascii="Arial" w:hAnsi="Arial" w:cs="Arial"/>
          <w:sz w:val="24"/>
          <w:szCs w:val="24"/>
        </w:rPr>
        <w:t>perifer.</w:t>
      </w:r>
      <w:r w:rsidR="00083F26"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{"citationItems":[{"id":"ITEM-1","itemData":{"DOI":"10.12669/pjms.295.3458","ISSN":"1682024X","PMID":"24353701","abstract":"Objective: The objective of this study was to determine the frequency of common causes leading to Pancytopenia in patients presenting to tertiary care hospital at Karachi. Methods: A total of 62 patients with the diagnosis of Pancytopenia of more than one week duration were enrolled in the study. All patients underwent a detailed medical history and full physical examination followed by blood sampling for the investigations i.e. complete blood count with peripheral film, erythrocyte sedimentation rate (ESR), Malarial parasites (MP), liver function test, Renal function tests, PT and viral profile (HBsAg, Anti-HCV), Ultrasonography of abdomen. All patients underwent bone marrow aspiration and trephine biopsy for reporting and interpretation. Duration of study was six months, from May 2010 to November 2010. Results: The average age of the patients was 37.76 ± 16.38years. Out of 62 patients, 36 (58%) were male and 26 (42%) were female. Megaloblastic anemia was the commonest cause that was observed in 41.9% cases followed by acute myeloid leukemia 27.4%, aplastic anemia 19.4% and erythroid hyperplasia 11.3%. Conclusion: This study concluded that most common cause of pancytopenia is Megaloblastic anemia, followed by acute myeloid leukemia and aplastic anemia. Bone marrow examination is a single useful investigation which reveals the underlying cause in patients with pancytopenia.","author":[{"dropping-particle":"Das","family":"Makheja","given":"Kirpal","non-dropping-particle":"","parse-names":false,"suffix":""},{"dropping-particle":"","family":"Maheshwari","given":"Bharat Kumar","non-dropping-particle":"","parse-names":false,"suffix":""},{"dropping-particle":"","family":"Arain","given":"Shafique","non-dropping-particle":"","parse-names":false,"suffix":""},{"dropping-particle":"","family":"Kumar","given":"Suneel","non-dropping-particle":"","parse-names":false,"suffix":""},{"dropping-particle":"","family":"Kumari","given":"Sangeeta","non-dropping-particle":"","parse-names":false,"suffix":""},{"dropping-particle":"","family":"Vikash","given":"","non-dropping-particle":"","parse-names":false,"suffix":""}],"container-title":"Pakistan Journal of Medical Sciences","id":"ITEM-1","issue":"5","issued":{"date-parts":[["2013"]]},"page":"1108-1111","title":"The common causes leading to pancytopenia in patients presenting to tertiary care hospital","type":"article-journal","volume":"29"},"uris":["http://www.mendeley.com/documents/?uuid=ba601f0c-c481-497a-b46c-5426613679b5"]},{"id":"ITEM-2","itemData":{"DOI":"10.3126/jpn.v2i4.6875","ISSN":"2091-0797","abstract":"Background: Pancytopenia is a common hematological finding resulting from varieties of disease processes that require evaluation of bone marrow. This study was carried out to evaluate bone marrow findings in patients presenting with pancytopenia.Materials and Method: This was a prospective cross sectional study carried out to identify the causes of pancytopenia based on bone marrow examination. Bone marrow examinations were performed in 503 cases for different indications over a period of one year.Results: One hundred and two (20.27%) cases fulfilled the criteria of pancytopenia. Trephine biopsy was possible only in 48 cases. In 75% cases aspiration findings were similar to biopsy. Mean age of patients was 38.8 years. Maximum number of cases was seen in age group of 15-30 years. Hypoplastic anemia was the commonest cause followed by hematological malignancies, megaloblastic anemia, leishmaniasis and Gaucher disease. Bone marrow examination alone was able to establish the diagnosis in 76.5% cases. In rest marrow findings were nonspecific and in 4.9% cases findings were normal.Conclusion: Bone marrow aspiration coupled with trephine biopsy can diagnose majority but not all the cases of pancytopenia. Hypoplastic anemia, hematological malignancies and megaloblastic anemia are the commonest causes of pancytopenia. Maximum diagnostic yield can be achieved by correlation with clinical findings, peripheral blood findings and with other laboratory and radiological parameters.Journal of Pathology of Nepal (2012) Vol. 2, 265-271DOI: http://dx.doi.org/10.3126/jpn.v2i4.6875","author":[{"dropping-particle":"","family":"Pathak","given":"R","non-dropping-particle":"","parse-names":false,"suffix":""},{"dropping-particle":"","family":"Jha","given":"A","non-dropping-particle":"","parse-names":false,"suffix":""},{"dropping-particle":"","family":"Sayami","given":"G","non-dropping-particle":"","parse-names":false,"suffix":""}],"container-title":"Journal of Pathology of Nepal","id":"ITEM-2","issue":"4","issued":{"date-parts":[["2012"]]},"page":"265-271","title":"Evaluation of bone marrow in patients with pancytopenia","type":"article-journal","volume":"2"},"uris":["http://www.mendeley.com/documents/?uuid=b3d83f74-de0f-40ce-ae26-e3788315506d"]}],"mendeley":{"formattedCitation":"&lt;sup&gt;1,2&lt;/sup&gt;","plainTextFormattedCitation":"1,2","previouslyFormattedCitation":"&lt;sup&gt;1,2&lt;/sup&gt;"},"properties":{"noteIndex":0},"schema":"https://github.com/citation-style-language/schema/raw/master/csl-citation.json"}</w:instrText>
      </w:r>
      <w:r w:rsidR="00083F26" w:rsidRPr="00C14CDB">
        <w:rPr>
          <w:rFonts w:ascii="Arial" w:hAnsi="Arial" w:cs="Arial"/>
          <w:sz w:val="24"/>
          <w:szCs w:val="24"/>
        </w:rPr>
        <w:fldChar w:fldCharType="separate"/>
      </w:r>
      <w:r w:rsidR="00083F26" w:rsidRPr="00C14CDB">
        <w:rPr>
          <w:rFonts w:ascii="Arial" w:hAnsi="Arial" w:cs="Arial"/>
          <w:noProof/>
          <w:sz w:val="24"/>
          <w:szCs w:val="24"/>
          <w:vertAlign w:val="superscript"/>
        </w:rPr>
        <w:t>1,2</w:t>
      </w:r>
      <w:r w:rsidR="00083F26" w:rsidRPr="00C14CDB">
        <w:rPr>
          <w:rFonts w:ascii="Arial" w:hAnsi="Arial" w:cs="Arial"/>
          <w:sz w:val="24"/>
          <w:szCs w:val="24"/>
        </w:rPr>
        <w:fldChar w:fldCharType="end"/>
      </w:r>
      <w:r w:rsidR="007F78FB" w:rsidRPr="00C14CDB">
        <w:rPr>
          <w:rFonts w:ascii="Arial" w:hAnsi="Arial" w:cs="Arial"/>
          <w:sz w:val="24"/>
          <w:szCs w:val="24"/>
        </w:rPr>
        <w:t xml:space="preserve"> Anemia aplastik adalah kelainan langka, tidak menular dan</w:t>
      </w:r>
      <w:r w:rsidR="007F78FB" w:rsidRPr="00C14CDB">
        <w:rPr>
          <w:rFonts w:ascii="Arial" w:hAnsi="Arial" w:cs="Arial"/>
          <w:sz w:val="24"/>
          <w:szCs w:val="24"/>
          <w:lang w:val="id-ID"/>
        </w:rPr>
        <w:t xml:space="preserve"> </w:t>
      </w:r>
      <w:r w:rsidR="007F78FB" w:rsidRPr="00C14CDB">
        <w:rPr>
          <w:rFonts w:ascii="Arial" w:hAnsi="Arial" w:cs="Arial"/>
          <w:sz w:val="24"/>
          <w:szCs w:val="24"/>
        </w:rPr>
        <w:t xml:space="preserve">berpotensi mengancam </w:t>
      </w:r>
      <w:r w:rsidR="007F78FB" w:rsidRPr="00C14CDB">
        <w:rPr>
          <w:rFonts w:ascii="Arial" w:hAnsi="Arial" w:cs="Arial"/>
          <w:sz w:val="24"/>
          <w:szCs w:val="24"/>
          <w:lang w:val="id-ID"/>
        </w:rPr>
        <w:t>jiwa.</w:t>
      </w:r>
      <w:r w:rsidR="00083F26" w:rsidRPr="00C14CDB">
        <w:rPr>
          <w:rFonts w:ascii="Arial" w:hAnsi="Arial" w:cs="Arial"/>
          <w:sz w:val="24"/>
          <w:szCs w:val="24"/>
          <w:lang w:val="id-ID"/>
        </w:rPr>
        <w:fldChar w:fldCharType="begin" w:fldLock="1"/>
      </w:r>
      <w:r w:rsidR="00083F26" w:rsidRPr="00C14CDB">
        <w:rPr>
          <w:rFonts w:ascii="Arial" w:hAnsi="Arial" w:cs="Arial"/>
          <w:sz w:val="24"/>
          <w:szCs w:val="24"/>
          <w:lang w:val="id-ID"/>
        </w:rPr>
        <w:instrText>ADDIN CSL_CITATION {"citationItems":[{"id":"ITEM-1","itemData":{"DOI":"10.3126/jpn.v2i4.6875","ISSN":"2091-0797","abstract":"Background: Pancytopenia is a common hematological finding resulting from varieties of disease processes that require evaluation of bone marrow. This study was carried out to evaluate bone marrow findings in patients presenting with pancytopenia.Materials and Method: This was a prospective cross sectional study carried out to identify the causes of pancytopenia based on bone marrow examination. Bone marrow examinations were performed in 503 cases for different indications over a period of one year.Results: One hundred and two (20.27%) cases fulfilled the criteria of pancytopenia. Trephine biopsy was possible only in 48 cases. In 75% cases aspiration findings were similar to biopsy. Mean age of patients was 38.8 years. Maximum number of cases was seen in age group of 15-30 years. Hypoplastic anemia was the commonest cause followed by hematological malignancies, megaloblastic anemia, leishmaniasis and Gaucher disease. Bone marrow examination alone was able to establish the diagnosis in 76.5% cases. In rest marrow findings were nonspecific and in 4.9% cases findings were normal.Conclusion: Bone marrow aspiration coupled with trephine biopsy can diagnose majority but not all the cases of pancytopenia. Hypoplastic anemia, hematological malignancies and megaloblastic anemia are the commonest causes of pancytopenia. Maximum diagnostic yield can be achieved by correlation with clinical findings, peripheral blood findings and with other laboratory and radiological parameters.Journal of Pathology of Nepal (2012) Vol. 2, 265-271DOI: http://dx.doi.org/10.3126/jpn.v2i4.6875","author":[{"dropping-particle":"","family":"Pathak","given":"R","non-dropping-particle":"","parse-names":false,"suffix":""},{"dropping-particle":"","family":"Jha","given":"A","non-dropping-particle":"","parse-names":false,"suffix":""},{"dropping-particle":"","family":"Sayami","given":"G","non-dropping-particle":"","parse-names":false,"suffix":""}],"container-title":"Journal of Pathology of Nepal","id":"ITEM-1","issue":"4","issued":{"date-parts":[["2012"]]},"page":"265-271","title":"Evaluation of bone marrow in patients with pancytopenia","type":"article-journal","volume":"2"},"uris":["http://www.mendeley.com/documents/?uuid=b3d83f74-de0f-40ce-ae26-e3788315506d"]}],"mendeley":{"formattedCitation":"&lt;sup&gt;2&lt;/sup&gt;","plainTextFormattedCitation":"2","previouslyFormattedCitation":"&lt;sup&gt;2&lt;/sup&gt;"},"properties":{"noteIndex":0},"schema":"https://github.com/citation-style-language/schema/raw/master/csl-citation.json"}</w:instrText>
      </w:r>
      <w:r w:rsidR="00083F26" w:rsidRPr="00C14CDB">
        <w:rPr>
          <w:rFonts w:ascii="Arial" w:hAnsi="Arial" w:cs="Arial"/>
          <w:sz w:val="24"/>
          <w:szCs w:val="24"/>
          <w:lang w:val="id-ID"/>
        </w:rPr>
        <w:fldChar w:fldCharType="separate"/>
      </w:r>
      <w:r w:rsidR="00083F26" w:rsidRPr="00C14CDB">
        <w:rPr>
          <w:rFonts w:ascii="Arial" w:hAnsi="Arial" w:cs="Arial"/>
          <w:noProof/>
          <w:sz w:val="24"/>
          <w:szCs w:val="24"/>
          <w:vertAlign w:val="superscript"/>
          <w:lang w:val="id-ID"/>
        </w:rPr>
        <w:t>2</w:t>
      </w:r>
      <w:r w:rsidR="00083F26" w:rsidRPr="00C14CDB">
        <w:rPr>
          <w:rFonts w:ascii="Arial" w:hAnsi="Arial" w:cs="Arial"/>
          <w:sz w:val="24"/>
          <w:szCs w:val="24"/>
          <w:lang w:val="id-ID"/>
        </w:rPr>
        <w:fldChar w:fldCharType="end"/>
      </w:r>
      <w:r w:rsidR="007F78FB" w:rsidRPr="00C14CDB">
        <w:rPr>
          <w:rFonts w:ascii="Arial" w:hAnsi="Arial" w:cs="Arial"/>
          <w:sz w:val="24"/>
          <w:szCs w:val="24"/>
          <w:lang w:val="id-ID"/>
        </w:rPr>
        <w:t xml:space="preserve"> </w:t>
      </w:r>
      <w:r w:rsidR="007F78FB" w:rsidRPr="00C14CDB">
        <w:rPr>
          <w:rFonts w:ascii="Arial" w:hAnsi="Arial" w:cs="Arial"/>
          <w:color w:val="000000"/>
          <w:sz w:val="24"/>
          <w:szCs w:val="24"/>
        </w:rPr>
        <w:t>Pada lebih dari 50% kasus</w:t>
      </w:r>
      <w:r w:rsidR="007F78FB" w:rsidRPr="00C14CDB">
        <w:rPr>
          <w:rFonts w:ascii="Arial" w:hAnsi="Arial" w:cs="Arial"/>
          <w:color w:val="000000"/>
          <w:sz w:val="24"/>
          <w:szCs w:val="24"/>
          <w:lang w:val="id-ID"/>
        </w:rPr>
        <w:t xml:space="preserve"> </w:t>
      </w:r>
      <w:r w:rsidR="007F78FB" w:rsidRPr="00C14CDB">
        <w:rPr>
          <w:rFonts w:ascii="Arial" w:hAnsi="Arial" w:cs="Arial"/>
          <w:color w:val="000000"/>
          <w:sz w:val="24"/>
          <w:szCs w:val="24"/>
        </w:rPr>
        <w:t>anemia aplastik di</w:t>
      </w:r>
      <w:r w:rsidR="007F78FB" w:rsidRPr="00C14CDB">
        <w:rPr>
          <w:rFonts w:ascii="Arial" w:hAnsi="Arial" w:cs="Arial"/>
          <w:color w:val="000000"/>
          <w:sz w:val="24"/>
          <w:szCs w:val="24"/>
          <w:lang w:val="id-ID"/>
        </w:rPr>
        <w:t xml:space="preserve">ketahui </w:t>
      </w:r>
      <w:r w:rsidR="007F78FB" w:rsidRPr="00C14CDB">
        <w:rPr>
          <w:rFonts w:ascii="Arial" w:hAnsi="Arial" w:cs="Arial"/>
          <w:color w:val="000000"/>
          <w:sz w:val="24"/>
          <w:szCs w:val="24"/>
        </w:rPr>
        <w:t>penyebabnya tidak diketahui</w:t>
      </w:r>
      <w:r w:rsidR="00083F26" w:rsidRPr="00C14CDB">
        <w:rPr>
          <w:rFonts w:ascii="Arial" w:hAnsi="Arial" w:cs="Arial"/>
          <w:color w:val="000000"/>
          <w:sz w:val="24"/>
          <w:szCs w:val="24"/>
          <w:lang w:val="id-ID"/>
        </w:rPr>
        <w:t xml:space="preserve">. </w:t>
      </w:r>
      <w:r w:rsidR="007F78FB" w:rsidRPr="00C14CDB">
        <w:rPr>
          <w:rFonts w:ascii="Arial" w:hAnsi="Arial" w:cs="Arial"/>
          <w:color w:val="000000"/>
          <w:sz w:val="24"/>
          <w:szCs w:val="24"/>
          <w:lang w:val="id-ID"/>
        </w:rPr>
        <w:t>Dihubungkan dengan</w:t>
      </w:r>
      <w:r w:rsidR="007F78FB" w:rsidRPr="00C14CDB">
        <w:rPr>
          <w:rFonts w:ascii="Arial" w:hAnsi="Arial" w:cs="Arial"/>
          <w:color w:val="000000"/>
          <w:sz w:val="24"/>
          <w:szCs w:val="24"/>
        </w:rPr>
        <w:t xml:space="preserve"> penyakit</w:t>
      </w:r>
      <w:r w:rsidR="007F78FB" w:rsidRPr="00C14CDB">
        <w:rPr>
          <w:rFonts w:ascii="Arial" w:hAnsi="Arial" w:cs="Arial"/>
          <w:color w:val="000000"/>
          <w:sz w:val="24"/>
          <w:szCs w:val="24"/>
          <w:lang w:val="id-ID"/>
        </w:rPr>
        <w:t xml:space="preserve"> </w:t>
      </w:r>
      <w:r w:rsidR="007F78FB" w:rsidRPr="00C14CDB">
        <w:rPr>
          <w:rFonts w:ascii="Arial" w:hAnsi="Arial" w:cs="Arial"/>
          <w:color w:val="000000"/>
          <w:sz w:val="24"/>
          <w:szCs w:val="24"/>
        </w:rPr>
        <w:t>autoimun yang dimediasi sel T, agen iatrogenik, infeksi virus dan</w:t>
      </w:r>
      <w:r w:rsidR="007F78FB" w:rsidRPr="00C14CDB">
        <w:rPr>
          <w:rFonts w:ascii="Arial" w:hAnsi="Arial" w:cs="Arial"/>
          <w:color w:val="000000"/>
          <w:sz w:val="24"/>
          <w:szCs w:val="24"/>
          <w:lang w:val="id-ID"/>
        </w:rPr>
        <w:t xml:space="preserve"> </w:t>
      </w:r>
      <w:r w:rsidR="007F78FB" w:rsidRPr="00C14CDB">
        <w:rPr>
          <w:rFonts w:ascii="Arial" w:hAnsi="Arial" w:cs="Arial"/>
          <w:color w:val="000000"/>
          <w:sz w:val="24"/>
          <w:szCs w:val="24"/>
        </w:rPr>
        <w:t>kehamilan.</w:t>
      </w:r>
      <w:r w:rsidR="00083F26" w:rsidRPr="00C14CDB">
        <w:rPr>
          <w:rFonts w:ascii="Arial" w:hAnsi="Arial" w:cs="Arial"/>
          <w:color w:val="000000"/>
          <w:sz w:val="24"/>
          <w:szCs w:val="24"/>
        </w:rPr>
        <w:fldChar w:fldCharType="begin" w:fldLock="1"/>
      </w:r>
      <w:r w:rsidR="00083F26" w:rsidRPr="00C14CDB">
        <w:rPr>
          <w:rFonts w:ascii="Arial" w:hAnsi="Arial" w:cs="Arial"/>
          <w:color w:val="000000"/>
          <w:sz w:val="24"/>
          <w:szCs w:val="24"/>
        </w:rPr>
        <w:instrText>ADDIN CSL_CITATION {"citationItems":[{"id":"ITEM-1","itemData":{"DOI":"10.1016/j.sjdr.2015.04.004","ISBN":"8802536376","ISSN":"23520043","abstract":"The article describes a case of aplastic anemia in a 44-year-old male patient which presented as spontaneous bleeding of gums. Though bleeding of gums is a very common complaint encountered in a dental clinic, bleeding of gums due to systemic causes is an infrequent finding. Patient from blood dyscrasias may present in a dental office with bleeding of gums as sole or the first complaint. The acknowledgment of the patients underlying condition is the responsibility of the dentist for pertinent referral and further management.","author":[{"dropping-particle":"","family":"Rai","given":"Arpita","non-dropping-particle":"","parse-names":false,"suffix":""},{"dropping-particle":"","family":"Vaishali","given":"Vanita","non-dropping-particle":"","parse-names":false,"suffix":""},{"dropping-particle":"","family":"Naikmasur","given":"Venkatesh G.","non-dropping-particle":"","parse-names":false,"suffix":""},{"dropping-particle":"","family":"Kumar","given":"Ansul","non-dropping-particle":"","parse-names":false,"suffix":""},{"dropping-particle":"","family":"Sattur","given":"Atul","non-dropping-particle":"","parse-names":false,"suffix":""}],"container-title":"Saudi Journal for Dental Research","id":"ITEM-1","issue":"1","issued":{"date-parts":[["2016"]]},"page":"69-72","publisher":"The Saudi Journal for Dental Research","title":"Aplastic anemia presenting as bleeding of gingiva: Case report and dental considerations","type":"article-journal","volume":"7"},"uris":["http://www.mendeley.com/documents/?uuid=6a39f40a-1535-4c02-b311-0160e525c9d8"]}],"mendeley":{"formattedCitation":"&lt;sup&gt;3&lt;/sup&gt;","plainTextFormattedCitation":"3","previouslyFormattedCitation":"&lt;sup&gt;3&lt;/sup&gt;"},"properties":{"noteIndex":0},"schema":"https://github.com/citation-style-language/schema/raw/master/csl-citation.json"}</w:instrText>
      </w:r>
      <w:r w:rsidR="00083F26" w:rsidRPr="00C14CDB">
        <w:rPr>
          <w:rFonts w:ascii="Arial" w:hAnsi="Arial" w:cs="Arial"/>
          <w:color w:val="000000"/>
          <w:sz w:val="24"/>
          <w:szCs w:val="24"/>
        </w:rPr>
        <w:fldChar w:fldCharType="separate"/>
      </w:r>
      <w:r w:rsidR="00083F26" w:rsidRPr="00C14CDB">
        <w:rPr>
          <w:rFonts w:ascii="Arial" w:hAnsi="Arial" w:cs="Arial"/>
          <w:noProof/>
          <w:color w:val="000000"/>
          <w:sz w:val="24"/>
          <w:szCs w:val="24"/>
          <w:vertAlign w:val="superscript"/>
        </w:rPr>
        <w:t>3</w:t>
      </w:r>
      <w:r w:rsidR="00083F26" w:rsidRPr="00C14CDB">
        <w:rPr>
          <w:rFonts w:ascii="Arial" w:hAnsi="Arial" w:cs="Arial"/>
          <w:color w:val="000000"/>
          <w:sz w:val="24"/>
          <w:szCs w:val="24"/>
        </w:rPr>
        <w:fldChar w:fldCharType="end"/>
      </w:r>
      <w:r w:rsidR="007F78FB" w:rsidRPr="00C14CDB">
        <w:rPr>
          <w:rFonts w:ascii="Arial" w:hAnsi="Arial" w:cs="Arial"/>
          <w:color w:val="000000"/>
          <w:sz w:val="24"/>
          <w:szCs w:val="24"/>
        </w:rPr>
        <w:t xml:space="preserve"> </w:t>
      </w:r>
      <w:r w:rsidRPr="00C14CDB">
        <w:rPr>
          <w:rFonts w:ascii="Arial" w:hAnsi="Arial" w:cs="Arial"/>
          <w:sz w:val="24"/>
          <w:szCs w:val="24"/>
        </w:rPr>
        <w:t xml:space="preserve"> Penurunan ketiga unsur utama darah ini menyebabkan terjadinya anemia, leukopenia dan trombositopenia. </w:t>
      </w:r>
      <w:r w:rsidR="0090709A" w:rsidRPr="00C14CDB">
        <w:rPr>
          <w:rFonts w:ascii="Arial" w:hAnsi="Arial" w:cs="Arial"/>
          <w:sz w:val="24"/>
          <w:szCs w:val="24"/>
        </w:rPr>
        <w:t>Pansitopenia</w:t>
      </w:r>
      <w:r w:rsidRPr="00C14CDB">
        <w:rPr>
          <w:rFonts w:ascii="Arial" w:hAnsi="Arial" w:cs="Arial"/>
          <w:sz w:val="24"/>
          <w:szCs w:val="24"/>
        </w:rPr>
        <w:t xml:space="preserve"> terjadi pada orang dewasa ketika kadar hemoglobin kurang dari 13,5 g/dl pada pria, atau 11,5 g/dl pada wanita; jumlah leukosit kurang dari 4</w:t>
      </w:r>
      <w:r w:rsidRPr="00C14CDB">
        <w:rPr>
          <w:rFonts w:ascii="Arial" w:hAnsi="Arial" w:cs="Arial"/>
          <w:sz w:val="24"/>
          <w:szCs w:val="24"/>
          <w:vertAlign w:val="superscript"/>
        </w:rPr>
        <w:t>10</w:t>
      </w:r>
      <w:r w:rsidR="000741F7" w:rsidRPr="00C14CDB">
        <w:rPr>
          <w:rFonts w:ascii="Arial" w:hAnsi="Arial" w:cs="Arial"/>
          <w:sz w:val="24"/>
          <w:szCs w:val="24"/>
          <w:vertAlign w:val="superscript"/>
        </w:rPr>
        <w:t>^</w:t>
      </w:r>
      <w:r w:rsidRPr="00C14CDB">
        <w:rPr>
          <w:rFonts w:ascii="Arial" w:hAnsi="Arial" w:cs="Arial"/>
          <w:sz w:val="24"/>
          <w:szCs w:val="24"/>
          <w:vertAlign w:val="superscript"/>
        </w:rPr>
        <w:t>9</w:t>
      </w:r>
      <w:r w:rsidRPr="00C14CDB">
        <w:rPr>
          <w:rFonts w:ascii="Arial" w:hAnsi="Arial" w:cs="Arial"/>
          <w:sz w:val="24"/>
          <w:szCs w:val="24"/>
        </w:rPr>
        <w:t>/ L; dan jumlah trombosit lebih sedikit dari 150</w:t>
      </w:r>
      <w:r w:rsidRPr="00C14CDB">
        <w:rPr>
          <w:rFonts w:ascii="Arial" w:hAnsi="Arial" w:cs="Arial"/>
          <w:sz w:val="24"/>
          <w:szCs w:val="24"/>
          <w:vertAlign w:val="superscript"/>
        </w:rPr>
        <w:t>10</w:t>
      </w:r>
      <w:r w:rsidR="000741F7" w:rsidRPr="00C14CDB">
        <w:rPr>
          <w:rFonts w:ascii="Arial" w:hAnsi="Arial" w:cs="Arial"/>
          <w:sz w:val="24"/>
          <w:szCs w:val="24"/>
          <w:vertAlign w:val="superscript"/>
        </w:rPr>
        <w:t>^</w:t>
      </w:r>
      <w:r w:rsidRPr="00C14CDB">
        <w:rPr>
          <w:rFonts w:ascii="Arial" w:hAnsi="Arial" w:cs="Arial"/>
          <w:sz w:val="24"/>
          <w:szCs w:val="24"/>
          <w:vertAlign w:val="superscript"/>
        </w:rPr>
        <w:t>9</w:t>
      </w:r>
      <w:r w:rsidRPr="00C14CDB">
        <w:rPr>
          <w:rFonts w:ascii="Arial" w:hAnsi="Arial" w:cs="Arial"/>
          <w:sz w:val="24"/>
          <w:szCs w:val="24"/>
        </w:rPr>
        <w:t>/L. Hal ini muncul dalam berbagai mekanisme seperti penurunan produksi sel hematopoitik akibat kerusakan sumsum oleh toksin atau penekanan pertumbuhan dan diferensiasi sumsum.</w:t>
      </w:r>
      <w:r w:rsidR="00083F26"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{"citationItems":[{"id":"ITEM-1","itemData":{"DOI":"10.1016/j.sjdr.2015.04.004","ISBN":"8802536376","ISSN":"23520043","abstract":"The article describes a case of aplastic anemia in a 44-year-old male patient which presented as spontaneous bleeding of gums. Though bleeding of gums is a very common complaint encountered in a dental clinic, bleeding of gums due to systemic causes is an infrequent finding. Patient from blood dyscrasias may present in a dental office with bleeding of gums as sole or the first complaint. The acknowledgment of the patients underlying condition is the responsibility of the dentist for pertinent referral and further management.","author":[{"dropping-particle":"","family":"Rai","given":"Arpita","non-dropping-particle":"","parse-names":false,"suffix":""},{"dropping-particle":"","family":"Vaishali","given":"Vanita","non-dropping-particle":"","parse-names":false,"suffix":""},{"dropping-particle":"","family":"Naikmasur","given":"Venkatesh G.","non-dropping-particle":"","parse-names":false,"suffix":""},{"dropping-particle":"","family":"Kumar","given":"Ansul","non-dropping-particle":"","parse-names":false,"suffix":""},{"dropping-particle":"","family":"Sattur","given":"Atul","non-dropping-particle":"","parse-names":false,"suffix":""}],"container-title":"Saudi Journal for Dental Research","id":"ITEM-1","issue":"1","issued":{"date-parts":[["2016"]]},"page":"69-72","publisher":"The Saudi Journal for Dental Research","title":"Aplastic anemia presenting as bleeding of gingiva: Case report and dental considerations","type":"article-journal","volume":"7"},"uris":["http://www.mendeley.com/documents/?uuid=6a39f40a-1535-4c02-b311-0160e525c9d8"]},{"id":"ITEM-2","itemData":{"author":[{"dropping-particle":"","family":"Venkat","given":"Rohan D","non-dropping-particle":"","parse-names":false,"suffix":""},{"dropping-particle":"","family":"Bharani","given":"Sheela A","non-dropping-particle":"","parse-names":false,"suffix":""}],"id":"ITEM-2","issue":"4","issued":{"date-parts":[["2021"]]},"page":"732-739","title":"Clinico-haematological profile and etiology of bi / pancytopenia in children aged six months to eighteen years","type":"article-journal","volume":"8"},"uris":["http://www.mendeley.com/documents/?uuid=a12ad235-8fe0-4be0-81be-91432af901b8"]}],"mendeley":{"formattedCitation":"&lt;sup&gt;3,4&lt;/sup&gt;","plainTextFormattedCitation":"3,4"},"properties":{"noteIndex":0},"schema":"https://github.com/citation-style-language/schema/raw/master/csl-citation.json"}</w:instrText>
      </w:r>
      <w:r w:rsidR="00083F26" w:rsidRPr="00C14CDB">
        <w:rPr>
          <w:rFonts w:ascii="Arial" w:hAnsi="Arial" w:cs="Arial"/>
          <w:sz w:val="24"/>
          <w:szCs w:val="24"/>
        </w:rPr>
        <w:fldChar w:fldCharType="separate"/>
      </w:r>
      <w:r w:rsidR="00083F26" w:rsidRPr="00C14CDB">
        <w:rPr>
          <w:rFonts w:ascii="Arial" w:hAnsi="Arial" w:cs="Arial"/>
          <w:noProof/>
          <w:sz w:val="24"/>
          <w:szCs w:val="24"/>
          <w:vertAlign w:val="superscript"/>
        </w:rPr>
        <w:t>3,4</w:t>
      </w:r>
      <w:r w:rsidR="00083F26" w:rsidRPr="00C14CDB">
        <w:rPr>
          <w:rFonts w:ascii="Arial" w:hAnsi="Arial" w:cs="Arial"/>
          <w:sz w:val="24"/>
          <w:szCs w:val="24"/>
        </w:rPr>
        <w:fldChar w:fldCharType="end"/>
      </w:r>
      <w:r w:rsidRPr="00C14CDB">
        <w:rPr>
          <w:rFonts w:ascii="Arial" w:hAnsi="Arial" w:cs="Arial"/>
          <w:sz w:val="24"/>
          <w:szCs w:val="24"/>
        </w:rPr>
        <w:t xml:space="preserve"> Mekanisme lain termasuk hematopoeisis yang tidak efektif dengan kematian sel di sumsum, pembentukan sel yang rusak yang dikeluarkan dengan cepat dari sirkulasi, sekuestrasi atau perusakan sel oleh aksi antibodi dan penjebakan sel normal dalam sistem retikuloendothelia yang mengalami hipertrofi dan terlalu aktif. </w:t>
      </w:r>
      <w:r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{"citationItems":[{"id":"ITEM-1","itemData":{"DOI":"10.12669/pjms.295.3458","ISSN":"1682024X","PMID":"24353701","abstract":"Objective: The objective of this study was to determine the frequency of common causes leading to Pancytopenia in patients presenting to tertiary care hospital at Karachi. Methods: A total of 62 patients with the diagnosis of Pancytopenia of more than one week duration were enrolled in the study. All patients underwent a detailed medical history and full physical examination followed by blood sampling for the investigations i.e. complete blood count with peripheral film, erythrocyte sedimentation rate (ESR), Malarial parasites (MP), liver function test, Renal function tests, PT and viral profile (HBsAg, Anti-HCV), Ultrasonography of abdomen. All patients underwent bone marrow aspiration and trephine biopsy for reporting and interpretation. Duration of study was six months, from May 2010 to November 2010. Results: The average age of the patients was 37.76 ± 16.38years. Out of 62 patients, 36 (58%) were male and 26 (42%) were female. Megaloblastic anemia was the commonest cause that was observed in 41.9% cases followed by acute myeloid leukemia 27.4%, aplastic anemia 19.4% and erythroid hyperplasia 11.3%. Conclusion: This study concluded that most common cause of pancytopenia is Megaloblastic anemia, followed by acute myeloid leukemia and aplastic anemia. Bone marrow examination is a single useful investigation which reveals the underlying cause in patients with pancytopenia.","author":[{"dropping-particle":"Das","family":"Makheja","given":"Kirpal","non-dropping-particle":"","parse-names":false,"suffix":""},{"dropping-particle":"","family":"Maheshwari","given":"Bharat Kumar","non-dropping-particle":"","parse-names":false,"suffix":""},{"dropping-particle":"","family":"Arain","given":"Shafique","non-dropping-particle":"","parse-names":false,"suffix":""},{"dropping-particle":"","family":"Kumar","given":"Suneel","non-dropping-particle":"","parse-names":false,"suffix":""},{"dropping-particle":"","family":"Kumari","given":"Sangeeta","non-dropping-particle":"","parse-names":false,"suffix":""},{"dropping-particle":"","family":"Vikash","given":"","non-dropping-particle":"","parse-names":false,"suffix":""}],"container-title":"Pakistan Journal of Medical Sciences","id":"ITEM-1","issue":"5","issued":{"date-parts":[["2013"]]},"page":"1108-1111","title":"The common causes leading to pancytopenia in patients presenting to tertiary care hospital","type":"article-journal","volume":"29"},"uris":["http://www.mendeley.com/documents/?uuid=789919c4-970b-4dc4-8d5a-c1c6b1c609ba","http://www.mendeley.com/documents/?uuid=0ac6f615-a2db-40cd-9a40-2a8a6d5f51f3"]},{"id":"ITEM-2","itemData":{"DOI":"10.3126/jpn.v2i4.6875","ISSN":"2091-0797","abstract":"Background: Pancytopenia is a common hematological finding resulting from varieties of disease processes that require evaluation of bone marrow. This study was carried out to evaluate bone marrow findings in patients presenting with pancytopenia.Materials and Method: This was a prospective cross sectional study carried out to identify the causes of pancytopenia based on bone marrow examination. Bone marrow examinations were performed in 503 cases for different indications over a period of one year.Results: One hundred and two (20.27%) cases fulfilled the criteria of pancytopenia. Trephine biopsy was possible only in 48 cases. In 75% cases aspiration findings were similar to biopsy. Mean age of patients was 38.8 years. Maximum number of cases was seen in age group of 15-30 years. Hypoplastic anemia was the commonest cause followed by hematological malignancies, megaloblastic anemia, leishmaniasis and Gaucher disease. Bone marrow examination alone was able to establish the diagnosis in 76.5% cases. In rest marrow findings were nonspecific and in 4.9% cases findings were normal.Conclusion: Bone marrow aspiration coupled with trephine biopsy can diagnose majority but not all the cases of pancytopenia. Hypoplastic anemia, hematological malignancies and megaloblastic anemia are the commonest causes of pancytopenia. Maximum diagnostic yield can be achieved by correlation with clinical findings, peripheral blood findings and with other laboratory and radiological parameters.Journal of Pathology of Nepal (2012) Vol. 2, 265-271DOI: http://dx.doi.org/10.3126/jpn.v2i4.6875","author":[{"dropping-particle":"","family":"Pathak","given":"R","non-dropping-particle":"","parse-names":false,"suffix":""},{"dropping-particle":"","family":"Jha","given":"A","non-dropping-particle":"","parse-names":false,"suffix":""},{"dropping-particle":"","family":"Sayami","given":"G","non-dropping-particle":"","parse-names":false,"suffix":""}],"container-title":"Journal of Pathology of Nepal","id":"ITEM-2","issue":"4","issued":{"date-parts":[["2012"]]},"page":"265-271","title":"Evaluation of bone marrow in patients with pancytopenia","type":"article-journal","volume":"2"},"uris":["http://www.mendeley.com/documents/?uuid=d8a59e3d-ccaa-4557-83af-3ee0f7965ba2","http://www.mendeley.com/documents/?uuid=46f55148-04c3-446e-8982-216e242f11e5"]}],"mendeley":{"formattedCitation":"&lt;sup&gt;1,2&lt;/sup&gt;","plainTextFormattedCitation":"1,2","previouslyFormattedCitation":"&lt;sup&gt;1,2&lt;/sup&gt;"},"properties":{"noteIndex":0},"schema":"https://github.com/citation-style-language/schema/raw/master/csl-citation.json"}</w:instrText>
      </w:r>
      <w:r w:rsidRPr="00C14CDB">
        <w:rPr>
          <w:rFonts w:ascii="Arial" w:hAnsi="Arial" w:cs="Arial"/>
          <w:sz w:val="24"/>
          <w:szCs w:val="24"/>
        </w:rPr>
        <w:fldChar w:fldCharType="separate"/>
      </w:r>
      <w:r w:rsidR="00083F26" w:rsidRPr="00C14CDB">
        <w:rPr>
          <w:rFonts w:ascii="Arial" w:hAnsi="Arial" w:cs="Arial"/>
          <w:noProof/>
          <w:sz w:val="24"/>
          <w:szCs w:val="24"/>
          <w:vertAlign w:val="superscript"/>
        </w:rPr>
        <w:t>1,2</w:t>
      </w:r>
      <w:r w:rsidRPr="00C14CDB">
        <w:rPr>
          <w:rFonts w:ascii="Arial" w:hAnsi="Arial" w:cs="Arial"/>
          <w:sz w:val="24"/>
          <w:szCs w:val="24"/>
        </w:rPr>
        <w:fldChar w:fldCharType="end"/>
      </w:r>
      <w:r w:rsidRPr="00C14CDB">
        <w:rPr>
          <w:rFonts w:ascii="Arial" w:hAnsi="Arial" w:cs="Arial"/>
          <w:sz w:val="24"/>
          <w:szCs w:val="24"/>
          <w:vertAlign w:val="superscript"/>
        </w:rPr>
        <w:t>,</w:t>
      </w:r>
      <w:r w:rsidRPr="00C14CDB">
        <w:rPr>
          <w:rFonts w:ascii="Arial" w:hAnsi="Arial" w:cs="Arial"/>
          <w:sz w:val="24"/>
          <w:szCs w:val="24"/>
          <w:vertAlign w:val="superscript"/>
        </w:rPr>
        <w:fldChar w:fldCharType="begin" w:fldLock="1"/>
      </w:r>
      <w:r w:rsidR="00083F26" w:rsidRPr="00C14CDB">
        <w:rPr>
          <w:rFonts w:ascii="Arial" w:hAnsi="Arial" w:cs="Arial"/>
          <w:sz w:val="24"/>
          <w:szCs w:val="24"/>
          <w:vertAlign w:val="superscript"/>
        </w:rPr>
        <w:instrText>ADDIN CSL_CITATION {"citationItems":[{"id":"ITEM-1","itemData":{"ISSN":"2394-0034","abstract":"Introduction: Pancytopenia is condition in which there is reduction of all the 3 peripheral blood lineage and must be suspected on clinical grounds when a patient presents with unexplained pallor. Careful examination of a blood film is important if reason for the pancytopenia is not apparent from the clinical history. If this does not reveal the cause, bone marrow aspiration and trephine may be needed. Aim: To study the profile of pancytopenia in hospitalized children. Materials and methods: This retrospective study was carried out in Dhiraj General Hospital from January 2014 to December 2014. All the Pediatric patients were included for the study. Complete blood count, peripheral smear (PS), bone marrow aspiration and bone marrow trephine biopsy were performed. Results: Among 200 studied Pediatric cases, maximum number of patients (39%) was in the age group of 6 month to 5 years. In the present study, megaloblastic anemia (26.5%) was the most common cause of pancytopenia followed by Aplastic anemia (20.0%) while leukemia was found in 17.5% of cases. The most common symptom was pallor in 163 (81.5%) cases and fever in 130 (65%). Conclusion: The megaloblastic anemia is most common cause of pancytopenia in our study followed by aplastic anemia and acute leukemia.","author":[{"dropping-particle":"","family":"Rathod","given":"Gunvanti B","non-dropping-particle":"","parse-names":false,"suffix":""},{"dropping-particle":"","family":"Alwani","given":"Mobeen","non-dropping-particle":"","parse-names":false,"suffix":""},{"dropping-particle":"","family":"Patel","given":"Hardi","non-dropping-particle":"","parse-names":false,"suffix":""},{"dropping-particle":"","family":"Jain","given":"Annie","non-dropping-particle":"","parse-names":false,"suffix":""}],"container-title":"International Archives of Integrated Medicine","id":"ITEM-1","issue":"11","issued":{"date-parts":[["2015"]]},"page":"15-19","title":"Clinico-hematological analysis of Pancytopenia in Pediatric patients of tertiary care hospital","type":"article-journal","volume":"2"},"uris":["http://www.mendeley.com/documents/?uuid=d4ab457e-7873-49bc-9779-160ce82f352e","http://www.mendeley.com/documents/?uuid=a46488df-1d0d-4e39-aa91-bfd1893622f3"]}],"mendeley":{"formattedCitation":"&lt;sup&gt;5&lt;/sup&gt;","plainTextFormattedCitation":"5","previouslyFormattedCitation":"&lt;sup&gt;5&lt;/sup&gt;"},"properties":{"noteIndex":0},"schema":"https://github.com/citation-style-language/schema/raw/master/csl-citation.json"}</w:instrText>
      </w:r>
      <w:r w:rsidRPr="00C14CDB">
        <w:rPr>
          <w:rFonts w:ascii="Arial" w:hAnsi="Arial" w:cs="Arial"/>
          <w:sz w:val="24"/>
          <w:szCs w:val="24"/>
          <w:vertAlign w:val="superscript"/>
        </w:rPr>
        <w:fldChar w:fldCharType="separate"/>
      </w:r>
      <w:r w:rsidR="00083F26" w:rsidRPr="00C14CDB">
        <w:rPr>
          <w:rFonts w:ascii="Arial" w:hAnsi="Arial" w:cs="Arial"/>
          <w:noProof/>
          <w:sz w:val="24"/>
          <w:szCs w:val="24"/>
          <w:vertAlign w:val="superscript"/>
        </w:rPr>
        <w:t>5</w:t>
      </w:r>
      <w:r w:rsidRPr="00C14CDB">
        <w:rPr>
          <w:rFonts w:ascii="Arial" w:hAnsi="Arial" w:cs="Arial"/>
          <w:sz w:val="24"/>
          <w:szCs w:val="24"/>
          <w:vertAlign w:val="superscript"/>
        </w:rPr>
        <w:fldChar w:fldCharType="end"/>
      </w:r>
      <w:r w:rsidRPr="00C14CDB">
        <w:rPr>
          <w:rFonts w:ascii="Arial" w:hAnsi="Arial" w:cs="Arial"/>
          <w:sz w:val="24"/>
          <w:szCs w:val="24"/>
          <w:vertAlign w:val="superscript"/>
        </w:rPr>
        <w:t>,</w:t>
      </w:r>
      <w:r w:rsidRPr="00C14CDB">
        <w:rPr>
          <w:rFonts w:ascii="Arial" w:hAnsi="Arial" w:cs="Arial"/>
          <w:sz w:val="24"/>
          <w:szCs w:val="24"/>
          <w:vertAlign w:val="superscript"/>
        </w:rPr>
        <w:fldChar w:fldCharType="begin" w:fldLock="1"/>
      </w:r>
      <w:r w:rsidR="00083F26" w:rsidRPr="00C14CDB">
        <w:rPr>
          <w:rFonts w:ascii="Arial" w:hAnsi="Arial" w:cs="Arial"/>
          <w:sz w:val="24"/>
          <w:szCs w:val="24"/>
          <w:vertAlign w:val="superscript"/>
        </w:rPr>
        <w:instrText>ADDIN CSL_CITATION {"citationItems":[{"id":"ITEM-1","itemData":{"DOI":"10.3329/fmcj.v13i2.43622","ISSN":"2079-3553","abstract":"Pancytopenia is a morphological description of the peripheral blood picture irrespective of its cause &amp; it denotes simultaneous presence of anaemia, leucopenia and thrombocytopenia. The study was done to observe the demographic profile &amp; the clinical presentations of pancytopenic patients and to find out the aetiology of pancytopenia. This cross sectional study was carried out in Medicine ward of Rajshahi Medical College Hospital from August 2005 to July 2006. A uniform protocol was followed in all cases, to have appropriate history, physical findings &amp; laboratory investigations. The commonest cause of pancytopenia was aplastic anaemia (48%) which was followed by hypersplenism (22%) &amp; acute leukemia (16%). The majority cases of aplastic anaemia were idiopathic (57.69%), only 42.31% cases were due to secondary causes. The majority (94%) of patients was in the age range of 14-60 years and up to 54% was in the age group of 20-40 years. The ratio of male to female in patients of pancytopenia was 1.5:1 and 3:1 in aplastic anaemia. In secondary causes of aplastic anaemia, insecticides and viral hepatitis was found to be causative agent in 45.45% cases of each followed by pregnancy in 9.10% of cases. The common presenting complains of aplastic anaemia were generalized weakness (100%), gum bleeding (76.92%), fever (76.92%) and pallor (96.15%).\r Faridpur Med. Coll. J. Jul 2018;13(2): 62-65","author":[{"dropping-particle":"","family":"Rahman","given":"ATM Ataur","non-dropping-particle":"","parse-names":false,"suffix":""},{"dropping-particle":"","family":"Ekram","given":"ARM Saifuddin","non-dropping-particle":"","parse-names":false,"suffix":""},{"dropping-particle":"","family":"Hossain","given":"Mohammed Shahadat","non-dropping-particle":"","parse-names":false,"suffix":""},{"dropping-particle":"","family":"Saha","given":"Jayanta Kumar","non-dropping-particle":"","parse-names":false,"suffix":""},{"dropping-particle":"","family":"Rahman","given":"Fahreen","non-dropping-particle":"","parse-names":false,"suffix":""},{"dropping-particle":"","family":"Kamruzzaman","given":"Muhammad","non-dropping-particle":"","parse-names":false,"suffix":""},{"dropping-particle":"","family":"Hossain","given":"Ahmed Manadir","non-dropping-particle":"","parse-names":false,"suffix":""},{"dropping-particle":"","family":"Islam","given":"MM Shahin Ul","non-dropping-particle":"","parse-names":false,"suffix":""}],"container-title":"Faridpur Medical College Journal","id":"ITEM-1","issue":"2","issued":{"date-parts":[["2019"]]},"page":"62-65","title":"Aetiology and Clinical Presentation of Pancytopenia in a Teaching Hospital","type":"article-journal","volume":"13"},"uris":["http://www.mendeley.com/documents/?uuid=2e933646-ba16-49d1-9fef-9e9c9e702b17","http://www.mendeley.com/documents/?uuid=e2189f67-2101-4ee0-a507-54b54200fdcd"]}],"mendeley":{"formattedCitation":"&lt;sup&gt;6&lt;/sup&gt;","plainTextFormattedCitation":"6","previouslyFormattedCitation":"&lt;sup&gt;6&lt;/sup&gt;"},"properties":{"noteIndex":0},"schema":"https://github.com/citation-style-language/schema/raw/master/csl-citation.json"}</w:instrText>
      </w:r>
      <w:r w:rsidRPr="00C14CDB">
        <w:rPr>
          <w:rFonts w:ascii="Arial" w:hAnsi="Arial" w:cs="Arial"/>
          <w:sz w:val="24"/>
          <w:szCs w:val="24"/>
          <w:vertAlign w:val="superscript"/>
        </w:rPr>
        <w:fldChar w:fldCharType="separate"/>
      </w:r>
      <w:r w:rsidR="00083F26" w:rsidRPr="00C14CDB">
        <w:rPr>
          <w:rFonts w:ascii="Arial" w:hAnsi="Arial" w:cs="Arial"/>
          <w:noProof/>
          <w:sz w:val="24"/>
          <w:szCs w:val="24"/>
          <w:vertAlign w:val="superscript"/>
        </w:rPr>
        <w:t>6</w:t>
      </w:r>
      <w:r w:rsidRPr="00C14CDB">
        <w:rPr>
          <w:rFonts w:ascii="Arial" w:hAnsi="Arial" w:cs="Arial"/>
          <w:sz w:val="24"/>
          <w:szCs w:val="24"/>
          <w:vertAlign w:val="superscript"/>
        </w:rPr>
        <w:fldChar w:fldCharType="end"/>
      </w:r>
    </w:p>
    <w:p w14:paraId="75C10F83" w14:textId="534D7D53" w:rsidR="00DC2F98" w:rsidRPr="00C14CDB" w:rsidRDefault="00DC2F98" w:rsidP="005174E2">
      <w:pPr>
        <w:spacing w:line="360" w:lineRule="auto"/>
        <w:jc w:val="both"/>
        <w:rPr>
          <w:rFonts w:ascii="Arial" w:hAnsi="Arial" w:cs="Arial"/>
          <w:sz w:val="24"/>
          <w:szCs w:val="24"/>
        </w:rPr>
      </w:pPr>
      <w:r w:rsidRPr="00C14CDB">
        <w:rPr>
          <w:rFonts w:ascii="Arial" w:hAnsi="Arial" w:cs="Arial"/>
          <w:sz w:val="24"/>
          <w:szCs w:val="24"/>
        </w:rPr>
        <w:tab/>
        <w:t xml:space="preserve">Etiologi </w:t>
      </w:r>
      <w:r w:rsidR="0090709A" w:rsidRPr="00C14CDB">
        <w:rPr>
          <w:rFonts w:ascii="Arial" w:hAnsi="Arial" w:cs="Arial"/>
          <w:sz w:val="24"/>
          <w:szCs w:val="24"/>
        </w:rPr>
        <w:t>Pansitopenia</w:t>
      </w:r>
      <w:r w:rsidRPr="00C14CDB">
        <w:rPr>
          <w:rFonts w:ascii="Arial" w:hAnsi="Arial" w:cs="Arial"/>
          <w:sz w:val="24"/>
          <w:szCs w:val="24"/>
        </w:rPr>
        <w:t xml:space="preserve"> berbeda-beda. Morbiditas dan mortalitas </w:t>
      </w:r>
      <w:r w:rsidR="0090709A" w:rsidRPr="00C14CDB">
        <w:rPr>
          <w:rFonts w:ascii="Arial" w:hAnsi="Arial" w:cs="Arial"/>
          <w:sz w:val="24"/>
          <w:szCs w:val="24"/>
        </w:rPr>
        <w:t>Pansitopenia</w:t>
      </w:r>
      <w:r w:rsidRPr="00C14CDB">
        <w:rPr>
          <w:rFonts w:ascii="Arial" w:hAnsi="Arial" w:cs="Arial"/>
          <w:sz w:val="24"/>
          <w:szCs w:val="24"/>
        </w:rPr>
        <w:t xml:space="preserve"> tergan</w:t>
      </w:r>
      <w:r w:rsidR="006F2DFC" w:rsidRPr="00C14CDB">
        <w:rPr>
          <w:rFonts w:ascii="Arial" w:hAnsi="Arial" w:cs="Arial"/>
          <w:sz w:val="24"/>
          <w:szCs w:val="24"/>
        </w:rPr>
        <w:t>tung pada variabilitas etiologi</w:t>
      </w:r>
      <w:r w:rsidRPr="00C14CDB">
        <w:rPr>
          <w:rFonts w:ascii="Arial" w:hAnsi="Arial" w:cs="Arial"/>
          <w:sz w:val="24"/>
          <w:szCs w:val="24"/>
        </w:rPr>
        <w:t xml:space="preserve">, namun paling umum efek dari terapi anti-kanker seperti kemoterapi, infeksi </w:t>
      </w:r>
      <w:r w:rsidRPr="00C14CDB">
        <w:rPr>
          <w:rFonts w:ascii="Arial" w:hAnsi="Arial" w:cs="Arial"/>
          <w:i/>
          <w:sz w:val="24"/>
          <w:szCs w:val="24"/>
        </w:rPr>
        <w:t>Human Immunodeficiency Virus</w:t>
      </w:r>
      <w:r w:rsidRPr="00C14CDB">
        <w:rPr>
          <w:rFonts w:ascii="Arial" w:hAnsi="Arial" w:cs="Arial"/>
          <w:sz w:val="24"/>
          <w:szCs w:val="24"/>
        </w:rPr>
        <w:t xml:space="preserve"> (HIV), infiltrasi atau kegagalan sumsum tulang, Obat-obatan khususnya agen antirematik, fenilbutazon, antikonvulsan seperti hidantoin, karbamazepin, obat sitotoksik (agen alkilasi), antibiotik (kloramfenikol, sulfonamid). Manifestasi klinis yang paling umum pada </w:t>
      </w:r>
      <w:r w:rsidR="0090709A" w:rsidRPr="00C14CDB">
        <w:rPr>
          <w:rFonts w:ascii="Arial" w:hAnsi="Arial" w:cs="Arial"/>
          <w:sz w:val="24"/>
          <w:szCs w:val="24"/>
        </w:rPr>
        <w:t>Pansitopenia</w:t>
      </w:r>
      <w:r w:rsidRPr="00C14CDB">
        <w:rPr>
          <w:rFonts w:ascii="Arial" w:hAnsi="Arial" w:cs="Arial"/>
          <w:sz w:val="24"/>
          <w:szCs w:val="24"/>
        </w:rPr>
        <w:t xml:space="preserve"> antara lain demam (86,7%), kelelahan (76%), pusing (64%), penurunan berat badan (45,3%), anoreksia (37,3%), keringat malam (28%), pucat (100%), splenomegali (48%), hepatomegali (21,3%), limfadenopati (14,7%), dan perdarahan (38,7%).</w:t>
      </w:r>
      <w:r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{"citationItems":[{"id":"ITEM-1","itemData":{"ISSN":"2394-0034","abstract":"Introduction: Pancytopenia is condition in which there is reduction of all the 3 peripheral blood lineage and must be suspected on clinical grounds when a patient presents with unexplained pallor. Careful examination of a blood film is important if reason for the pancytopenia is not apparent from the clinical history. If this does not reveal the cause, bone marrow aspiration and trephine may be needed. Aim: To study the profile of pancytopenia in hospitalized children. Materials and methods: This retrospective study was carried out in Dhiraj General Hospital from January 2014 to December 2014. All the Pediatric patients were included for the study. Complete blood count, peripheral smear (PS), bone marrow aspiration and bone marrow trephine biopsy were performed. Results: Among 200 studied Pediatric cases, maximum number of patients (39%) was in the age group of 6 month to 5 years. In the present study, megaloblastic anemia (26.5%) was the most common cause of pancytopenia followed by Aplastic anemia (20.0%) while leukemia was found in 17.5% of cases. The most common symptom was pallor in 163 (81.5%) cases and fever in 130 (65%). Conclusion: The megaloblastic anemia is most common cause of pancytopenia in our study followed by aplastic anemia and acute leukemia.","author":[{"dropping-particle":"","family":"Rathod","given":"Gunvanti B","non-dropping-particle":"","parse-names":false,"suffix":""},{"dropping-particle":"","family":"Alwani","given":"Mobeen","non-dropping-particle":"","parse-names":false,"suffix":""},{"dropping-particle":"","family":"Patel","given":"Hardi","non-dropping-particle":"","parse-names":false,"suffix":""},{"dropping-particle":"","family":"Jain","given":"Annie","non-dropping-particle":"","parse-names":false,"suffix":""}],"container-title":"International Archives of Integrated Medicine","id":"ITEM-1","issue":"11","issued":{"date-parts":[["2015"]]},"page":"15-19","title":"Clinico-hematological analysis of Pancytopenia in Pediatric patients of tertiary care hospital","type":"article-journal","volume":"2"},"uris":["http://www.mendeley.com/documents/?uuid=a46488df-1d0d-4e39-aa91-bfd1893622f3","http://www.mendeley.com/documents/?uuid=d4ab457e-7873-49bc-9779-160ce82f352e"]},{"id":"ITEM-2","itemData":{"DOI":"10.12669/pjms.295.3458","ISSN":"1682024X","PMID":"24353701","abstract":"Objective: The objective of this study was to determine the frequency of common causes leading to Pancytopenia in patients presenting to tertiary care hospital at Karachi. Methods: A total of 62 patients with the diagnosis of Pancytopenia of more than one week duration were enrolled in the study. All patients underwent a detailed medical history and full physical examination followed by blood sampling for the investigations i.e. complete blood count with peripheral film, erythrocyte sedimentation rate (ESR), Malarial parasites (MP), liver function test, Renal function tests, PT and viral profile (HBsAg, Anti-HCV), Ultrasonography of abdomen. All patients underwent bone marrow aspiration and trephine biopsy for reporting and interpretation. Duration of study was six months, from May 2010 to November 2010. Results: The average age of the patients was 37.76 ± 16.38years. Out of 62 patients, 36 (58%) were male and 26 (42%) were female. Megaloblastic anemia was the commonest cause that was observed in 41.9% cases followed by acute myeloid leukemia 27.4%, aplastic anemia 19.4% and erythroid hyperplasia 11.3%. Conclusion: This study concluded that most common cause of pancytopenia is Megaloblastic anemia, followed by acute myeloid leukemia and aplastic anemia. Bone marrow examination is a single useful investigation which reveals the underlying cause in patients with pancytopenia.","author":[{"dropping-particle":"Das","family":"Makheja","given":"Kirpal","non-dropping-particle":"","parse-names":false,"suffix":""},{"dropping-particle":"","family":"Maheshwari","given":"Bharat Kumar","non-dropping-particle":"","parse-names":false,"suffix":""},{"dropping-particle":"","family":"Arain","given":"Shafique","non-dropping-particle":"","parse-names":false,"suffix":""},{"dropping-particle":"","family":"Kumar","given":"Suneel","non-dropping-particle":"","parse-names":false,"suffix":""},{"dropping-particle":"","family":"Kumari","given":"Sangeeta","non-dropping-particle":"","parse-names":false,"suffix":""},{"dropping-particle":"","family":"Vikash","given":"","non-dropping-particle":"","parse-names":false,"suffix":""}],"container-title":"Pakistan Journal of Medical Sciences","id":"ITEM-2","issue":"5","issued":{"date-parts":[["2013"]]},"page":"1108-1111","title":"The common causes leading to pancytopenia in patients presenting to tertiary care hospital","type":"article-journal","volume":"29"},"uris":["http://www.mendeley.com/documents/?uuid=0ac6f615-a2db-40cd-9a40-2a8a6d5f51f3","http://www.mendeley.com/documents/?uuid=789919c4-970b-4dc4-8d5a-c1c6b1c609ba","http://www.mendeley.com/documents/?uuid=ebff001f-468c-484d-bc67-c2e1fff0deef"]},{"id":"ITEM-3","itemData":{"DOI":"10.3329/fmcj.v13i2.43622","ISSN":"2079-3553","abstract":"Pancytopenia is a morphological description of the peripheral blood picture irrespective of its cause &amp; it denotes simultaneous presence of anaemia, leucopenia and thrombocytopenia. The study was done to observe the demographic profile &amp; the clinical presentations of pancytopenic patients and to find out the aetiology of pancytopenia. This cross sectional study was carried out in Medicine ward of Rajshahi Medical College Hospital from August 2005 to July 2006. A uniform protocol was followed in all cases, to have appropriate history, physical findings &amp; laboratory investigations. The commonest cause of pancytopenia was aplastic anaemia (48%) which was followed by hypersplenism (22%) &amp; acute leukemia (16%). The majority cases of aplastic anaemia were idiopathic (57.69%), only 42.31% cases were due to secondary causes. The majority (94%) of patients was in the age range of 14-60 years and up to 54% was in the age group of 20-40 years. The ratio of male to female in patients of pancytopenia was 1.5:1 and 3:1 in aplastic anaemia. In secondary causes of aplastic anaemia, insecticides and viral hepatitis was found to be causative agent in 45.45% cases of each followed by pregnancy in 9.10% of cases. The common presenting complains of aplastic anaemia were generalized weakness (100%), gum bleeding (76.92%), fever (76.92%) and pallor (96.15%).\r Faridpur Med. Coll. J. Jul 2018;13(2): 62-65","author":[{"dropping-particle":"","family":"Rahman","given":"ATM Ataur","non-dropping-particle":"","parse-names":false,"suffix":""},{"dropping-particle":"","family":"Ekram","given":"ARM Saifuddin","non-dropping-particle":"","parse-names":false,"suffix":""},{"dropping-particle":"","family":"Hossain","given":"Mohammed Shahadat","non-dropping-particle":"","parse-names":false,"suffix":""},{"dropping-particle":"","family":"Saha","given":"Jayanta Kumar","non-dropping-particle":"","parse-names":false,"suffix":""},{"dropping-particle":"","family":"Rahman","given":"Fahreen","non-dropping-particle":"","parse-names":false,"suffix":""},{"dropping-particle":"","family":"Kamruzzaman","given":"Muhammad","non-dropping-particle":"","parse-names":false,"suffix":""},{"dropping-particle":"","family":"Hossain","given":"Ahmed Manadir","non-dropping-particle":"","parse-names":false,"suffix":""},{"dropping-particle":"","family":"Islam","given":"MM Shahin Ul","non-dropping-particle":"","parse-names":false,"suffix":""}],"container-title":"Faridpur Medical College Journal","id":"ITEM-3","issue":"2","issued":{"date-parts":[["2019"]]},"page":"62-65","title":"Aetiology and Clinical Presentation of Pancytopenia in a Teaching Hospital","type":"article-journal","volume":"13"},"uris":["http://www.mendeley.com/documents/?uuid=e2189f67-2101-4ee0-a507-54b54200fdcd","http://www.mendeley.com/documents/?uuid=2e933646-ba16-49d1-9fef-9e9c9e702b17","http://www.mendeley.com/documents/?uuid=8686add2-d6d9-4ef9-a7d6-cc8d5bf4b40e"]}],"mendeley":{"formattedCitation":"&lt;sup&gt;1,5,6&lt;/sup&gt;","plainTextFormattedCitation":"1,5,6","previouslyFormattedCitation":"&lt;sup&gt;1,5,6&lt;/sup&gt;"},"properties":{"noteIndex":0},"schema":"https://github.com/citation-style-language/schema/raw/master/csl-citation.json"}</w:instrText>
      </w:r>
      <w:r w:rsidRPr="00C14CDB">
        <w:rPr>
          <w:rFonts w:ascii="Arial" w:hAnsi="Arial" w:cs="Arial"/>
          <w:sz w:val="24"/>
          <w:szCs w:val="24"/>
        </w:rPr>
        <w:fldChar w:fldCharType="separate"/>
      </w:r>
      <w:r w:rsidR="00083F26" w:rsidRPr="00C14CDB">
        <w:rPr>
          <w:rFonts w:ascii="Arial" w:hAnsi="Arial" w:cs="Arial"/>
          <w:noProof/>
          <w:sz w:val="24"/>
          <w:szCs w:val="24"/>
          <w:vertAlign w:val="superscript"/>
        </w:rPr>
        <w:t>1,5,6</w:t>
      </w:r>
      <w:r w:rsidRPr="00C14CDB">
        <w:rPr>
          <w:rFonts w:ascii="Arial" w:hAnsi="Arial" w:cs="Arial"/>
          <w:sz w:val="24"/>
          <w:szCs w:val="24"/>
        </w:rPr>
        <w:fldChar w:fldCharType="end"/>
      </w:r>
    </w:p>
    <w:p w14:paraId="0A7CFC5E" w14:textId="551B0C0D" w:rsidR="00DC2F98" w:rsidRPr="00C14CDB" w:rsidRDefault="00DC2F98" w:rsidP="005174E2">
      <w:pPr>
        <w:spacing w:line="360" w:lineRule="auto"/>
        <w:jc w:val="both"/>
        <w:rPr>
          <w:rFonts w:ascii="Arial" w:hAnsi="Arial" w:cs="Arial"/>
          <w:sz w:val="24"/>
          <w:szCs w:val="24"/>
        </w:rPr>
      </w:pPr>
      <w:r w:rsidRPr="00C14CDB">
        <w:rPr>
          <w:rFonts w:ascii="Arial" w:hAnsi="Arial" w:cs="Arial"/>
          <w:sz w:val="24"/>
          <w:szCs w:val="24"/>
        </w:rPr>
        <w:lastRenderedPageBreak/>
        <w:tab/>
        <w:t>Kelainan ini kemungkinan besar disebabkan oleh gangguan pembekuan yang diinduksi trombositopenia, yang menyebabkan perdarahan berlebihan bahkan setelah trauma ringan yang berhubungan dengan fungsi mulut normal.</w:t>
      </w:r>
      <w:r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{"citationItems":[{"id":"ITEM-1","itemData":{"ISSN":"25158260","abstract":"Gingival bleeding is a common, mild form of gum disease. It is a primary sign of gingival disease such as gingival inflammation or Gingivitis is caused by accumulation of plaque at the gum line. Gingiva becomes swollen, reddish and irritable to the patient due to plaque accumulation. Plaque which is not removed will harden into tartar. This will lead to severe advanced gum disease and its progresses to periodontitis and finally tooth loss. Bleeding gums or Gingival Bleeding can cause discomfort to the patient both physically and mentally. Every dentist must know the underlying causes of gingival bleeding based on both local and systemic factors. This article aims to discuss the systemic causes of GINGIVAL BLEEDING.","author":[{"dropping-particle":"","family":"Rajes","given":"E.","non-dropping-particle":"","parse-names":false,"suffix":""},{"dropping-particle":"","family":"Mangai","given":"T. Alamelu","non-dropping-particle":"","parse-names":false,"suffix":""},{"dropping-particle":"","family":"Babu","given":"N. Aravindha","non-dropping-particle":"","parse-names":false,"suffix":""},{"dropping-particle":"","family":"Malathi","given":"L.","non-dropping-particle":"","parse-names":false,"suffix":""}],"container-title":"European Journal of Molecular and Clinical Medicine","id":"ITEM-1","issue":"5","issued":{"date-parts":[["2020"]]},"page":"1472-1476","title":"Gingival bleeding - Systemic causes","type":"article-journal","volume":"7"},"uris":["http://www.mendeley.com/documents/?uuid=993d48ea-d175-412f-8b44-ec775ade696a","http://www.mendeley.com/documents/?uuid=9cc97f11-4ad9-415f-9a0e-ba2f2f0bb2c5"]},{"id":"ITEM-2","itemData":{"DOI":"10.1111/jcpe.12770","ISSN":"1600051X","PMID":"28667742","abstract":"Introduction: Antithrombotic drugs are known to increase the risk of gingival bleeding because they affect coagulation. However, other drugs could also be involved in gingival bleeding. Aim: We performed a pharmacoepidemiological study to identify the drugs most frequently “suspected” in the occurrence of gingival bleeding. Material and methods: We selected reports of “gingival bleeding” from 1 January 1985 to 30 September 2014 in the French PharmacoVigilance Database. Results: Among 523,808 reports of adverse drug reactions, we identified 454 reports of gingival bleeding (0.09%). Most of them were “serious” (58.4%) and occurred in females (54.6%). The frequency of gingival bleeding increased with age. The most frequently “suspected” drugs were antithrombotics (67.8%), particularly fluindione. Other drugs frequently involved were furosemide followed by paracetamol, amiodarone, amoxicillin, paroxetine, ketoprofen, zolpidem, enalapril and ramipril. Thirty-nine reports involved a drug–drug interaction with antithrombotics, mainly with anti-infectives. Conclusion: Gingival bleeding can be an adverse drug reaction, often “serious” and rarely fatal. Patients older than 50 years and women are particularly at risk. Among drugs known to increase the risk of gingival bleeding, the most frequently involved were fluindione, furosemide, paracetamol, amiodarone, amoxicillin, paroxetine or ketoprofen. We also identified signal for drugs not usually known to be involved in bleeding, like zolpidem, enalapril or ramipril.","author":[{"dropping-particle":"","family":"Bondon-Guitton","given":"Emmanuelle","non-dropping-particle":"","parse-names":false,"suffix":""},{"dropping-particle":"","family":"Mourgues","given":"Thibaut","non-dropping-particle":"","parse-names":false,"suffix":""},{"dropping-particle":"","family":"Rousseau","given":"Vanessa","non-dropping-particle":"","parse-names":false,"suffix":""},{"dropping-particle":"","family":"Cousty","given":"Sarah","non-dropping-particle":"","parse-names":false,"suffix":""},{"dropping-particle":"","family":"Cottin","given":"Judith","non-dropping-particle":"","parse-names":false,"suffix":""},{"dropping-particle":"","family":"Drablier","given":"Guillaume","non-dropping-particle":"","parse-names":false,"suffix":""},{"dropping-particle":"","family":"Micallef","given":"Joëlle","non-dropping-particle":"","parse-names":false,"suffix":""},{"dropping-particle":"","family":"Montastruc","given":"Jean Louis","non-dropping-particle":"","parse-names":false,"suffix":""}],"container-title":"Journal of Clinical Periodontology","id":"ITEM-2","issue":"9","issued":{"date-parts":[["2017"]]},"page":"898-904","title":"Gingival bleeding, a possible “serious” adverse drug reaction: An observational study in the French PharmacoVigilance Database","type":"article-journal","volume":"44"},"uris":["http://www.mendeley.com/documents/?uuid=4f4ded8c-860c-4cd8-858b-1e844f85e521","http://www.mendeley.com/documents/?uuid=f623a87a-9681-4eb4-b6fd-884ae22474b0"]},{"id":"ITEM-3","itemData":{"DOI":"10.1182/asheducation-2013.1.76.6.","ISSN":"10294864","PMID":"24741845","author":[{"dropping-particle":"","family":"Padayachee","given":"S.","non-dropping-particle":"","parse-names":false,"suffix":""},{"dropping-particle":"","family":"Holmes","given":"H.","non-dropping-particle":"","parse-names":false,"suffix":""},{"dropping-particle":"","family":"Dreyer","given":"W. P.","non-dropping-particle":"","parse-names":false,"suffix":""}],"container-title":"SADJ : journal of the South African Dental Association = tydskrif van die Suid-Afrikaanse Tandheelkundige Vereniging","id":"ITEM-3","issue":"1","issued":{"date-parts":[["2014"]]},"page":"26-27","title":"Oral medicine case book 56: Oral manifestations of aplastic anaemia.","type":"article-journal","volume":"69"},"uris":["http://www.mendeley.com/documents/?uuid=a699a367-e6f6-4844-8a04-6d6a31c077be","http://www.mendeley.com/documents/?uuid=299f7b29-0b2b-480b-80b0-8e52a5e8284a"]}],"mendeley":{"formattedCitation":"&lt;sup&gt;7–9&lt;/sup&gt;","plainTextFormattedCitation":"7–9","previouslyFormattedCitation":"&lt;sup&gt;7–9&lt;/sup&gt;"},"properties":{"noteIndex":0},"schema":"https://github.com/citation-style-language/schema/raw/master/csl-citation.json"}</w:instrText>
      </w:r>
      <w:r w:rsidRPr="00C14CDB">
        <w:rPr>
          <w:rFonts w:ascii="Arial" w:hAnsi="Arial" w:cs="Arial"/>
          <w:sz w:val="24"/>
          <w:szCs w:val="24"/>
        </w:rPr>
        <w:fldChar w:fldCharType="separate"/>
      </w:r>
      <w:r w:rsidR="00083F26" w:rsidRPr="00C14CDB">
        <w:rPr>
          <w:rFonts w:ascii="Arial" w:hAnsi="Arial" w:cs="Arial"/>
          <w:noProof/>
          <w:sz w:val="24"/>
          <w:szCs w:val="24"/>
          <w:vertAlign w:val="superscript"/>
        </w:rPr>
        <w:t>7–9</w:t>
      </w:r>
      <w:r w:rsidRPr="00C14CDB">
        <w:rPr>
          <w:rFonts w:ascii="Arial" w:hAnsi="Arial" w:cs="Arial"/>
          <w:sz w:val="24"/>
          <w:szCs w:val="24"/>
        </w:rPr>
        <w:fldChar w:fldCharType="end"/>
      </w:r>
    </w:p>
    <w:p w14:paraId="77EA6BA6" w14:textId="556CF35F" w:rsidR="00DC2F98" w:rsidRPr="00C14CDB" w:rsidRDefault="00DC2F98" w:rsidP="005174E2">
      <w:pPr>
        <w:spacing w:line="360" w:lineRule="auto"/>
        <w:jc w:val="both"/>
        <w:rPr>
          <w:rFonts w:ascii="Arial" w:hAnsi="Arial" w:cs="Arial"/>
          <w:sz w:val="24"/>
          <w:szCs w:val="24"/>
        </w:rPr>
      </w:pPr>
      <w:r w:rsidRPr="00C14CDB">
        <w:rPr>
          <w:rFonts w:ascii="Arial" w:hAnsi="Arial" w:cs="Arial"/>
          <w:sz w:val="24"/>
          <w:szCs w:val="24"/>
        </w:rPr>
        <w:tab/>
        <w:t xml:space="preserve">Diagnosis dan penatalaksanaan perdarahan </w:t>
      </w:r>
      <w:r w:rsidR="00AB39F3" w:rsidRPr="00C14CDB">
        <w:rPr>
          <w:rFonts w:ascii="Arial" w:hAnsi="Arial" w:cs="Arial"/>
          <w:sz w:val="24"/>
          <w:szCs w:val="24"/>
        </w:rPr>
        <w:t>gusi</w:t>
      </w:r>
      <w:r w:rsidRPr="00C14CDB">
        <w:rPr>
          <w:rFonts w:ascii="Arial" w:hAnsi="Arial" w:cs="Arial"/>
          <w:sz w:val="24"/>
          <w:szCs w:val="24"/>
        </w:rPr>
        <w:t xml:space="preserve"> terkadang membingungkan dan memerlukan pendekatan tim medis yang sistematis. Manifestasi </w:t>
      </w:r>
      <w:r w:rsidR="003E5CBE" w:rsidRPr="00C14CDB">
        <w:rPr>
          <w:rFonts w:ascii="Arial" w:hAnsi="Arial" w:cs="Arial"/>
          <w:sz w:val="24"/>
          <w:szCs w:val="24"/>
        </w:rPr>
        <w:t>rongga mulut</w:t>
      </w:r>
      <w:r w:rsidRPr="00C14CDB">
        <w:rPr>
          <w:rFonts w:ascii="Arial" w:hAnsi="Arial" w:cs="Arial"/>
          <w:sz w:val="24"/>
          <w:szCs w:val="24"/>
        </w:rPr>
        <w:t xml:space="preserve"> dari kelainan hematologi memiliki lesi yang hampir sama, maka dari itu sebagai seorang dokter gigi yang merupakan ahli perawatan kesehatan pertama yang mengevaluasi pasien dengan perdarahan </w:t>
      </w:r>
      <w:r w:rsidR="00AB39F3" w:rsidRPr="00C14CDB">
        <w:rPr>
          <w:rFonts w:ascii="Arial" w:hAnsi="Arial" w:cs="Arial"/>
          <w:sz w:val="24"/>
          <w:szCs w:val="24"/>
        </w:rPr>
        <w:t>gusi</w:t>
      </w:r>
      <w:r w:rsidRPr="00C14CDB">
        <w:rPr>
          <w:rFonts w:ascii="Arial" w:hAnsi="Arial" w:cs="Arial"/>
          <w:sz w:val="24"/>
          <w:szCs w:val="24"/>
        </w:rPr>
        <w:t xml:space="preserve"> karena diskrasia darah yang mendasarinya. Riwayat klinis, tanda-tanda sistemik dari gangguan perdarahan, dan tes abnormal untuk hemostasis dapat membantu dokter gigi dalam deteksi dini dan rujukan pasien untuk penanganan lebih lanjut.</w:t>
      </w:r>
      <w:r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{"citationItems":[{"id":"ITEM-1","itemData":{"DOI":"10.1016/j.oooo.2011.10.016","ISSN":"22124403","PMID":"22668636","abstract":"Introduction. Acute gingival bleeding can occasionally be the only sign of systemic bleeding problems. The diagnosis and management of such conditions may challenge the skills of the dentist. Case report. The present report describes a case of severe, prolonged gingival bleeding in a 54-year-old woman as a consequence of Plasmodium falciparum malaria infection. Specific highlights are focused on the management of the patient with emphasis on early diagnosis of the disease so as to improve the prognosis. This case report also stresses that medical intervention to correct the underlying aberration of hemostasis is necessary for local dental measures to successfully stop bleeding. Conclusions. Acute gingival bleeding as a complication of systemic disease can be challenging to manage unless the underlying systemic cause is diagnosed. Therefore, the dentist must be aware of various systemic conditions that can lead to gingival bleeding. The present case report describes a patient with acute gingival bleeding secondary to Plasmodium falciparum infection. © 2012 Elsevier Inc. All rights reserved.","author":[{"dropping-particle":"","family":"Khan","given":"Saif","non-dropping-particle":"","parse-names":false,"suffix":""},{"dropping-particle":"","family":"Zia","given":"Afaf","non-dropping-particle":"","parse-names":false,"suffix":""},{"dropping-particle":"","family":"Gupta","given":"N. D.","non-dropping-particle":"","parse-names":false,"suffix":""},{"dropping-particle":"","family":"Bey","given":"Afshan","non-dropping-particle":"","parse-names":false,"suffix":""}],"container-title":"Oral Surgery, Oral Medicine, Oral Pathology and Oral Radiology","id":"ITEM-1","issue":"5","issued":{"date-parts":[["2012"]]},"page":"e19-e22","publisher":"Elsevier","title":"Acute gingival bleeding as a complication of falciparum malaria: A case report","type":"article-journal","volume":"113"},"uris":["http://www.mendeley.com/documents/?uuid=5e9f9b93-fc7d-486e-8cf8-6e1ffbe047e2","http://www.mendeley.com/documents/?uuid=c3bfd5f7-0f42-4531-9d10-65b2510d283a"]}],"mendeley":{"formattedCitation":"&lt;sup&gt;10&lt;/sup&gt;","plainTextFormattedCitation":"10","previouslyFormattedCitation":"&lt;sup&gt;10&lt;/sup&gt;"},"properties":{"noteIndex":0},"schema":"https://github.com/citation-style-language/schema/raw/master/csl-citation.json"}</w:instrText>
      </w:r>
      <w:r w:rsidRPr="00C14CDB">
        <w:rPr>
          <w:rFonts w:ascii="Arial" w:hAnsi="Arial" w:cs="Arial"/>
          <w:sz w:val="24"/>
          <w:szCs w:val="24"/>
        </w:rPr>
        <w:fldChar w:fldCharType="separate"/>
      </w:r>
      <w:r w:rsidR="00083F26" w:rsidRPr="00C14CDB">
        <w:rPr>
          <w:rFonts w:ascii="Arial" w:hAnsi="Arial" w:cs="Arial"/>
          <w:noProof/>
          <w:sz w:val="24"/>
          <w:szCs w:val="24"/>
          <w:vertAlign w:val="superscript"/>
        </w:rPr>
        <w:t>10</w:t>
      </w:r>
      <w:r w:rsidRPr="00C14CDB">
        <w:rPr>
          <w:rFonts w:ascii="Arial" w:hAnsi="Arial" w:cs="Arial"/>
          <w:sz w:val="24"/>
          <w:szCs w:val="24"/>
        </w:rPr>
        <w:fldChar w:fldCharType="end"/>
      </w:r>
    </w:p>
    <w:p w14:paraId="7730C6C6" w14:textId="323BCFDF" w:rsidR="005174E2" w:rsidRPr="00C14CDB" w:rsidRDefault="00DC2F98" w:rsidP="005174E2">
      <w:pPr>
        <w:spacing w:line="360" w:lineRule="auto"/>
        <w:jc w:val="both"/>
        <w:rPr>
          <w:rFonts w:ascii="Arial" w:hAnsi="Arial" w:cs="Arial"/>
          <w:sz w:val="24"/>
          <w:szCs w:val="24"/>
          <w:lang w:val="id-ID"/>
        </w:rPr>
      </w:pPr>
      <w:r w:rsidRPr="00C14CDB">
        <w:rPr>
          <w:rFonts w:ascii="Arial" w:hAnsi="Arial" w:cs="Arial"/>
          <w:sz w:val="24"/>
          <w:szCs w:val="24"/>
        </w:rPr>
        <w:tab/>
        <w:t xml:space="preserve">Tujuan dari laporan kasus ini adalah memaparkan perawatan perdarahan </w:t>
      </w:r>
      <w:r w:rsidR="008A51C5" w:rsidRPr="00C14CDB">
        <w:rPr>
          <w:rFonts w:ascii="Arial" w:hAnsi="Arial" w:cs="Arial"/>
          <w:sz w:val="24"/>
          <w:szCs w:val="24"/>
        </w:rPr>
        <w:t>gusi</w:t>
      </w:r>
      <w:r w:rsidRPr="00C14CDB">
        <w:rPr>
          <w:rFonts w:ascii="Arial" w:hAnsi="Arial" w:cs="Arial"/>
          <w:sz w:val="24"/>
          <w:szCs w:val="24"/>
        </w:rPr>
        <w:t xml:space="preserve"> pada pasien dengan </w:t>
      </w:r>
      <w:r w:rsidR="0090709A" w:rsidRPr="00C14CDB">
        <w:rPr>
          <w:rFonts w:ascii="Arial" w:hAnsi="Arial" w:cs="Arial"/>
          <w:sz w:val="24"/>
          <w:szCs w:val="24"/>
        </w:rPr>
        <w:t>Pansitopenia</w:t>
      </w:r>
      <w:r w:rsidRPr="00C14CDB">
        <w:rPr>
          <w:rFonts w:ascii="Arial" w:hAnsi="Arial" w:cs="Arial"/>
          <w:sz w:val="24"/>
          <w:szCs w:val="24"/>
        </w:rPr>
        <w:t>.</w:t>
      </w:r>
    </w:p>
    <w:p w14:paraId="2546835B" w14:textId="77777777" w:rsidR="00DC2F98" w:rsidRPr="00C14CDB" w:rsidRDefault="00DC2F98" w:rsidP="005174E2">
      <w:pPr>
        <w:spacing w:line="360" w:lineRule="auto"/>
        <w:jc w:val="both"/>
        <w:rPr>
          <w:rFonts w:ascii="Arial" w:hAnsi="Arial" w:cs="Arial"/>
          <w:b/>
          <w:sz w:val="24"/>
          <w:szCs w:val="24"/>
        </w:rPr>
      </w:pPr>
      <w:r w:rsidRPr="00C14CDB">
        <w:rPr>
          <w:rFonts w:ascii="Arial" w:hAnsi="Arial" w:cs="Arial"/>
          <w:b/>
          <w:sz w:val="24"/>
          <w:szCs w:val="24"/>
        </w:rPr>
        <w:t>Laporan Kasus</w:t>
      </w:r>
    </w:p>
    <w:p w14:paraId="1D2A036A" w14:textId="616148F0" w:rsidR="00DC2F98" w:rsidRPr="00C14CDB" w:rsidRDefault="00DC2F98" w:rsidP="005174E2">
      <w:pPr>
        <w:spacing w:line="360" w:lineRule="auto"/>
        <w:jc w:val="both"/>
        <w:rPr>
          <w:rFonts w:ascii="Arial" w:hAnsi="Arial" w:cs="Arial"/>
          <w:sz w:val="24"/>
          <w:szCs w:val="24"/>
        </w:rPr>
      </w:pPr>
      <w:r w:rsidRPr="00C14CDB">
        <w:rPr>
          <w:rFonts w:ascii="Arial" w:hAnsi="Arial" w:cs="Arial"/>
          <w:b/>
          <w:sz w:val="24"/>
          <w:szCs w:val="24"/>
        </w:rPr>
        <w:tab/>
      </w:r>
      <w:r w:rsidRPr="00C14CDB">
        <w:rPr>
          <w:rFonts w:ascii="Arial" w:hAnsi="Arial" w:cs="Arial"/>
          <w:sz w:val="24"/>
          <w:szCs w:val="24"/>
        </w:rPr>
        <w:t xml:space="preserve">Seorang laki-laki berusia 50 tahun dikonsulkan dari bagian Ilmu Penyakit Dalam (IPD) dengan keluhan utama gusi berdarah terutama bagian atas sejak ± 2 tahun yang lalu, tidak disertai keluhan sakit di daerah gusi maupun di bagian mulut lainnya. Tidak ada kesulitan makan. Pasien pernah memeriksakan kondisi ini ke dokter gigi namun tidak mengalami perbaikan. Pasien telah mendapatkan transfusi </w:t>
      </w:r>
      <w:r w:rsidRPr="00C14CDB">
        <w:rPr>
          <w:rFonts w:ascii="Arial" w:hAnsi="Arial" w:cs="Arial"/>
          <w:i/>
          <w:sz w:val="24"/>
          <w:szCs w:val="24"/>
        </w:rPr>
        <w:t>Packed Red Cell</w:t>
      </w:r>
      <w:r w:rsidRPr="00C14CDB">
        <w:rPr>
          <w:rFonts w:ascii="Arial" w:hAnsi="Arial" w:cs="Arial"/>
          <w:sz w:val="24"/>
          <w:szCs w:val="24"/>
        </w:rPr>
        <w:t xml:space="preserve"> (PRC) meskipun belum menunjukkan perbaikan yang berarti. Keadaan umum pasien komposmentis, dengan kondisi sakit sedang, serta tanda vital dalam keadaan normal. Bagian IPD mendiagnosis dengan </w:t>
      </w:r>
      <w:r w:rsidR="0090709A" w:rsidRPr="00C14CDB">
        <w:rPr>
          <w:rFonts w:ascii="Arial" w:hAnsi="Arial" w:cs="Arial"/>
          <w:sz w:val="24"/>
          <w:szCs w:val="24"/>
        </w:rPr>
        <w:t>Pansitopenia</w:t>
      </w:r>
      <w:r w:rsidRPr="00C14CDB">
        <w:rPr>
          <w:rFonts w:ascii="Arial" w:hAnsi="Arial" w:cs="Arial"/>
          <w:sz w:val="24"/>
          <w:szCs w:val="24"/>
        </w:rPr>
        <w:t xml:space="preserve"> perifer </w:t>
      </w:r>
      <w:r w:rsidRPr="00C14CDB">
        <w:rPr>
          <w:rFonts w:ascii="Arial" w:hAnsi="Arial" w:cs="Arial"/>
          <w:i/>
          <w:sz w:val="24"/>
          <w:szCs w:val="24"/>
        </w:rPr>
        <w:t>et causa</w:t>
      </w:r>
      <w:r w:rsidRPr="00C14CDB">
        <w:rPr>
          <w:rFonts w:ascii="Arial" w:hAnsi="Arial" w:cs="Arial"/>
          <w:sz w:val="24"/>
          <w:szCs w:val="24"/>
        </w:rPr>
        <w:t xml:space="preserve"> anemia aplastik dengan diagnosis banding </w:t>
      </w:r>
      <w:r w:rsidRPr="00C14CDB">
        <w:rPr>
          <w:rFonts w:ascii="Arial" w:hAnsi="Arial" w:cs="Arial"/>
          <w:i/>
          <w:sz w:val="24"/>
          <w:szCs w:val="24"/>
        </w:rPr>
        <w:t>myelodyplastic syndrome</w:t>
      </w:r>
    </w:p>
    <w:p w14:paraId="5639F48B" w14:textId="47044F97" w:rsidR="00775101" w:rsidRPr="0028266E" w:rsidRDefault="00DC2F98" w:rsidP="005174E2">
      <w:pPr>
        <w:spacing w:line="360" w:lineRule="auto"/>
        <w:jc w:val="both"/>
        <w:rPr>
          <w:rFonts w:ascii="Arial" w:hAnsi="Arial" w:cs="Arial"/>
          <w:sz w:val="24"/>
          <w:szCs w:val="24"/>
          <w:lang w:val="id-ID"/>
        </w:rPr>
      </w:pPr>
      <w:r w:rsidRPr="00C14CDB">
        <w:rPr>
          <w:rFonts w:ascii="Arial" w:hAnsi="Arial" w:cs="Arial"/>
          <w:sz w:val="24"/>
          <w:szCs w:val="24"/>
        </w:rPr>
        <w:tab/>
        <w:t>Pemeriksaan ekstra</w:t>
      </w:r>
      <w:r w:rsidR="003E5CBE" w:rsidRPr="00C14CDB">
        <w:rPr>
          <w:rFonts w:ascii="Arial" w:hAnsi="Arial" w:cs="Arial"/>
          <w:sz w:val="24"/>
          <w:szCs w:val="24"/>
        </w:rPr>
        <w:t>rongga mulut</w:t>
      </w:r>
      <w:r w:rsidRPr="00C14CDB">
        <w:rPr>
          <w:rFonts w:ascii="Arial" w:hAnsi="Arial" w:cs="Arial"/>
          <w:sz w:val="24"/>
          <w:szCs w:val="24"/>
        </w:rPr>
        <w:t xml:space="preserve"> menunjukkan pada mata dengan konjungtiva anemis, serta sklera non ikterik. Pada bibir kondisi kering disertai </w:t>
      </w:r>
      <w:r w:rsidRPr="00C14CDB">
        <w:rPr>
          <w:rFonts w:ascii="Arial" w:hAnsi="Arial" w:cs="Arial"/>
          <w:i/>
          <w:sz w:val="24"/>
          <w:szCs w:val="24"/>
        </w:rPr>
        <w:t>blood clot</w:t>
      </w:r>
      <w:r w:rsidRPr="00C14CDB">
        <w:rPr>
          <w:rFonts w:ascii="Arial" w:hAnsi="Arial" w:cs="Arial"/>
          <w:sz w:val="24"/>
          <w:szCs w:val="24"/>
        </w:rPr>
        <w:t xml:space="preserve"> yang mengering dari gusi, terutama pada bagian sudut bibir kiri dan </w:t>
      </w:r>
      <w:r w:rsidRPr="00C14CDB">
        <w:rPr>
          <w:rFonts w:ascii="Arial" w:hAnsi="Arial" w:cs="Arial"/>
          <w:i/>
          <w:sz w:val="24"/>
          <w:szCs w:val="24"/>
        </w:rPr>
        <w:t>vermillion</w:t>
      </w:r>
      <w:r w:rsidRPr="00C14CDB">
        <w:rPr>
          <w:rFonts w:ascii="Arial" w:hAnsi="Arial" w:cs="Arial"/>
          <w:sz w:val="24"/>
          <w:szCs w:val="24"/>
        </w:rPr>
        <w:t xml:space="preserve"> bagian dalam bibir atas. Pemeriksaan intra</w:t>
      </w:r>
      <w:r w:rsidR="003E5CBE" w:rsidRPr="00C14CDB">
        <w:rPr>
          <w:rFonts w:ascii="Arial" w:hAnsi="Arial" w:cs="Arial"/>
          <w:sz w:val="24"/>
          <w:szCs w:val="24"/>
        </w:rPr>
        <w:t>rongga mulut</w:t>
      </w:r>
      <w:r w:rsidRPr="00C14CDB">
        <w:rPr>
          <w:rFonts w:ascii="Arial" w:hAnsi="Arial" w:cs="Arial"/>
          <w:sz w:val="24"/>
          <w:szCs w:val="24"/>
        </w:rPr>
        <w:t xml:space="preserve"> menunjukkan adanya perdarahan gingial pada regio 2 dan 3, namun bagian yang lain masih sulit untuk dinilai (Gambar 1). </w:t>
      </w:r>
    </w:p>
    <w:p w14:paraId="7DC8EAAE" w14:textId="77777777" w:rsidR="00775101" w:rsidRPr="00C14CDB" w:rsidRDefault="00775101" w:rsidP="005174E2">
      <w:pPr>
        <w:spacing w:line="360" w:lineRule="auto"/>
        <w:jc w:val="both"/>
        <w:rPr>
          <w:rFonts w:ascii="Arial" w:hAnsi="Arial" w:cs="Arial"/>
          <w:sz w:val="24"/>
          <w:szCs w:val="24"/>
          <w:lang w:val="id-ID"/>
        </w:rPr>
      </w:pPr>
    </w:p>
    <w:p w14:paraId="5EA5FA83" w14:textId="77777777" w:rsidR="005174E2" w:rsidRPr="00C14CDB" w:rsidRDefault="005174E2" w:rsidP="005174E2">
      <w:pPr>
        <w:spacing w:line="360" w:lineRule="auto"/>
        <w:jc w:val="both"/>
        <w:rPr>
          <w:rFonts w:ascii="Arial" w:hAnsi="Arial" w:cs="Arial"/>
          <w:sz w:val="24"/>
          <w:szCs w:val="24"/>
          <w:lang w:val="id-ID"/>
        </w:rPr>
      </w:pPr>
    </w:p>
    <w:p w14:paraId="20886290" w14:textId="77777777" w:rsidR="005174E2" w:rsidRPr="00C14CDB" w:rsidRDefault="005174E2" w:rsidP="005174E2">
      <w:pPr>
        <w:spacing w:line="360" w:lineRule="auto"/>
        <w:jc w:val="both"/>
        <w:rPr>
          <w:rFonts w:ascii="Arial" w:hAnsi="Arial" w:cs="Arial"/>
          <w:sz w:val="24"/>
          <w:szCs w:val="24"/>
          <w:lang w:val="id-ID"/>
        </w:rPr>
      </w:pPr>
      <w:r w:rsidRPr="00C14CDB">
        <w:rPr>
          <w:rFonts w:ascii="Arial" w:hAnsi="Arial" w:cs="Arial"/>
          <w:noProof/>
        </w:rPr>
        <w:drawing>
          <wp:anchor distT="0" distB="0" distL="114300" distR="114300" simplePos="0" relativeHeight="251657216" behindDoc="0" locked="0" layoutInCell="1" allowOverlap="1" wp14:anchorId="363E3859" wp14:editId="0C046DF3">
            <wp:simplePos x="0" y="0"/>
            <wp:positionH relativeFrom="column">
              <wp:posOffset>274320</wp:posOffset>
            </wp:positionH>
            <wp:positionV relativeFrom="paragraph">
              <wp:posOffset>-213360</wp:posOffset>
            </wp:positionV>
            <wp:extent cx="5334000" cy="2508328"/>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334000" cy="2508328"/>
                    </a:xfrm>
                    <a:prstGeom prst="rect">
                      <a:avLst/>
                    </a:prstGeom>
                  </pic:spPr>
                </pic:pic>
              </a:graphicData>
            </a:graphic>
            <wp14:sizeRelH relativeFrom="page">
              <wp14:pctWidth>0</wp14:pctWidth>
            </wp14:sizeRelH>
            <wp14:sizeRelV relativeFrom="page">
              <wp14:pctHeight>0</wp14:pctHeight>
            </wp14:sizeRelV>
          </wp:anchor>
        </w:drawing>
      </w:r>
    </w:p>
    <w:p w14:paraId="2B39E22A" w14:textId="77777777" w:rsidR="005174E2" w:rsidRPr="00C14CDB" w:rsidRDefault="005174E2" w:rsidP="005174E2">
      <w:pPr>
        <w:spacing w:line="360" w:lineRule="auto"/>
        <w:jc w:val="both"/>
        <w:rPr>
          <w:rFonts w:ascii="Arial" w:hAnsi="Arial" w:cs="Arial"/>
          <w:sz w:val="24"/>
          <w:szCs w:val="24"/>
          <w:lang w:val="id-ID"/>
        </w:rPr>
      </w:pPr>
    </w:p>
    <w:p w14:paraId="66A63368" w14:textId="77777777" w:rsidR="005174E2" w:rsidRPr="00C14CDB" w:rsidRDefault="005174E2" w:rsidP="005174E2">
      <w:pPr>
        <w:spacing w:line="360" w:lineRule="auto"/>
        <w:jc w:val="both"/>
        <w:rPr>
          <w:rFonts w:ascii="Arial" w:hAnsi="Arial" w:cs="Arial"/>
          <w:sz w:val="24"/>
          <w:szCs w:val="24"/>
          <w:lang w:val="id-ID"/>
        </w:rPr>
      </w:pPr>
    </w:p>
    <w:p w14:paraId="110F07EF" w14:textId="77777777" w:rsidR="00DC2F98" w:rsidRPr="00C14CDB" w:rsidRDefault="00DC2F98" w:rsidP="005174E2">
      <w:pPr>
        <w:spacing w:after="0" w:line="360" w:lineRule="auto"/>
        <w:jc w:val="both"/>
        <w:rPr>
          <w:rFonts w:ascii="Arial" w:hAnsi="Arial" w:cs="Arial"/>
          <w:sz w:val="24"/>
          <w:szCs w:val="24"/>
          <w:lang w:val="id-ID"/>
        </w:rPr>
      </w:pPr>
      <w:r w:rsidRPr="00C14CDB">
        <w:rPr>
          <w:rFonts w:ascii="Arial" w:hAnsi="Arial" w:cs="Arial"/>
          <w:sz w:val="24"/>
          <w:szCs w:val="24"/>
        </w:rPr>
        <w:t xml:space="preserve"> </w:t>
      </w:r>
    </w:p>
    <w:p w14:paraId="08B00590" w14:textId="77777777" w:rsidR="005174E2" w:rsidRPr="00C14CDB" w:rsidRDefault="005174E2" w:rsidP="005174E2">
      <w:pPr>
        <w:spacing w:after="0" w:line="360" w:lineRule="auto"/>
        <w:jc w:val="both"/>
        <w:rPr>
          <w:rFonts w:ascii="Arial" w:hAnsi="Arial" w:cs="Arial"/>
          <w:sz w:val="24"/>
          <w:szCs w:val="24"/>
          <w:lang w:val="id-ID"/>
        </w:rPr>
      </w:pPr>
    </w:p>
    <w:p w14:paraId="63D21F74" w14:textId="77777777" w:rsidR="005174E2" w:rsidRPr="00C14CDB" w:rsidRDefault="005174E2" w:rsidP="005174E2">
      <w:pPr>
        <w:spacing w:after="0" w:line="360" w:lineRule="auto"/>
        <w:jc w:val="both"/>
        <w:rPr>
          <w:rFonts w:ascii="Arial" w:hAnsi="Arial" w:cs="Arial"/>
          <w:sz w:val="24"/>
          <w:szCs w:val="24"/>
          <w:lang w:val="id-ID"/>
        </w:rPr>
      </w:pPr>
    </w:p>
    <w:p w14:paraId="0F0DA38C" w14:textId="77777777" w:rsidR="00D1433B" w:rsidRPr="00C14CDB" w:rsidRDefault="00D1433B" w:rsidP="005174E2">
      <w:pPr>
        <w:spacing w:after="0" w:line="360" w:lineRule="auto"/>
        <w:jc w:val="both"/>
        <w:rPr>
          <w:rFonts w:ascii="Arial" w:hAnsi="Arial" w:cs="Arial"/>
          <w:sz w:val="24"/>
          <w:szCs w:val="24"/>
          <w:lang w:val="id-ID"/>
        </w:rPr>
      </w:pPr>
    </w:p>
    <w:p w14:paraId="1947F5BF" w14:textId="77777777" w:rsidR="005174E2" w:rsidRPr="00C14CDB" w:rsidRDefault="005174E2" w:rsidP="005174E2">
      <w:pPr>
        <w:spacing w:after="0" w:line="360" w:lineRule="auto"/>
        <w:jc w:val="both"/>
        <w:rPr>
          <w:rFonts w:ascii="Arial" w:hAnsi="Arial" w:cs="Arial"/>
          <w:sz w:val="24"/>
          <w:szCs w:val="24"/>
          <w:lang w:val="id-ID"/>
        </w:rPr>
      </w:pPr>
    </w:p>
    <w:p w14:paraId="78AB6997" w14:textId="6AA4A7AB" w:rsidR="00DC2F98" w:rsidRPr="00D46C80" w:rsidRDefault="00DC2F98" w:rsidP="005174E2">
      <w:pPr>
        <w:spacing w:after="0" w:line="360" w:lineRule="auto"/>
        <w:jc w:val="center"/>
        <w:rPr>
          <w:rFonts w:ascii="Arial" w:hAnsi="Arial" w:cs="Arial"/>
          <w:sz w:val="16"/>
          <w:szCs w:val="16"/>
        </w:rPr>
      </w:pPr>
      <w:proofErr w:type="gramStart"/>
      <w:r w:rsidRPr="00D46C80">
        <w:rPr>
          <w:rFonts w:ascii="Arial" w:hAnsi="Arial" w:cs="Arial"/>
          <w:b/>
          <w:sz w:val="16"/>
          <w:szCs w:val="16"/>
        </w:rPr>
        <w:t>Gambar 1.</w:t>
      </w:r>
      <w:proofErr w:type="gramEnd"/>
      <w:r w:rsidRPr="00D46C80">
        <w:rPr>
          <w:rFonts w:ascii="Arial" w:hAnsi="Arial" w:cs="Arial"/>
          <w:sz w:val="16"/>
          <w:szCs w:val="16"/>
        </w:rPr>
        <w:t xml:space="preserve"> (</w:t>
      </w:r>
      <w:r w:rsidRPr="00D46C80">
        <w:rPr>
          <w:rFonts w:ascii="Arial" w:hAnsi="Arial" w:cs="Arial"/>
          <w:b/>
          <w:sz w:val="16"/>
          <w:szCs w:val="16"/>
        </w:rPr>
        <w:t>A</w:t>
      </w:r>
      <w:r w:rsidRPr="00D46C80">
        <w:rPr>
          <w:rFonts w:ascii="Arial" w:hAnsi="Arial" w:cs="Arial"/>
          <w:sz w:val="16"/>
          <w:szCs w:val="16"/>
        </w:rPr>
        <w:t xml:space="preserve">). Perdarahan pada </w:t>
      </w:r>
      <w:proofErr w:type="gramStart"/>
      <w:r w:rsidRPr="00D46C80">
        <w:rPr>
          <w:rFonts w:ascii="Arial" w:hAnsi="Arial" w:cs="Arial"/>
          <w:sz w:val="16"/>
          <w:szCs w:val="16"/>
        </w:rPr>
        <w:t>hidung.,</w:t>
      </w:r>
      <w:proofErr w:type="gramEnd"/>
      <w:r w:rsidRPr="00D46C80">
        <w:rPr>
          <w:rFonts w:ascii="Arial" w:hAnsi="Arial" w:cs="Arial"/>
          <w:sz w:val="16"/>
          <w:szCs w:val="16"/>
        </w:rPr>
        <w:t xml:space="preserve"> (</w:t>
      </w:r>
      <w:r w:rsidRPr="00D46C80">
        <w:rPr>
          <w:rFonts w:ascii="Arial" w:hAnsi="Arial" w:cs="Arial"/>
          <w:b/>
          <w:sz w:val="16"/>
          <w:szCs w:val="16"/>
        </w:rPr>
        <w:t>B</w:t>
      </w:r>
      <w:r w:rsidRPr="00D46C80">
        <w:rPr>
          <w:rFonts w:ascii="Arial" w:hAnsi="Arial" w:cs="Arial"/>
          <w:sz w:val="16"/>
          <w:szCs w:val="16"/>
        </w:rPr>
        <w:t xml:space="preserve">) Bibir kering disertai </w:t>
      </w:r>
      <w:r w:rsidRPr="00D46C80">
        <w:rPr>
          <w:rFonts w:ascii="Arial" w:hAnsi="Arial" w:cs="Arial"/>
          <w:i/>
          <w:sz w:val="16"/>
          <w:szCs w:val="16"/>
        </w:rPr>
        <w:t>blood clot</w:t>
      </w:r>
      <w:r w:rsidRPr="00D46C80">
        <w:rPr>
          <w:rFonts w:ascii="Arial" w:hAnsi="Arial" w:cs="Arial"/>
          <w:sz w:val="16"/>
          <w:szCs w:val="16"/>
        </w:rPr>
        <w:t xml:space="preserve"> pada sudut bibir kiri., (</w:t>
      </w:r>
      <w:r w:rsidRPr="00D46C80">
        <w:rPr>
          <w:rFonts w:ascii="Arial" w:hAnsi="Arial" w:cs="Arial"/>
          <w:b/>
          <w:sz w:val="16"/>
          <w:szCs w:val="16"/>
        </w:rPr>
        <w:t>C-G</w:t>
      </w:r>
      <w:r w:rsidRPr="00D46C80">
        <w:rPr>
          <w:rFonts w:ascii="Arial" w:hAnsi="Arial" w:cs="Arial"/>
          <w:sz w:val="16"/>
          <w:szCs w:val="16"/>
        </w:rPr>
        <w:t xml:space="preserve">). </w:t>
      </w:r>
      <w:proofErr w:type="gramStart"/>
      <w:r w:rsidRPr="00D46C80">
        <w:rPr>
          <w:rFonts w:ascii="Arial" w:hAnsi="Arial" w:cs="Arial"/>
          <w:sz w:val="16"/>
          <w:szCs w:val="16"/>
        </w:rPr>
        <w:t>Perdarahan pada intra</w:t>
      </w:r>
      <w:r w:rsidR="003E5CBE" w:rsidRPr="00D46C80">
        <w:rPr>
          <w:rFonts w:ascii="Arial" w:hAnsi="Arial" w:cs="Arial"/>
          <w:sz w:val="16"/>
          <w:szCs w:val="16"/>
        </w:rPr>
        <w:t>rongga mulut</w:t>
      </w:r>
      <w:r w:rsidRPr="00D46C80">
        <w:rPr>
          <w:rFonts w:ascii="Arial" w:hAnsi="Arial" w:cs="Arial"/>
          <w:sz w:val="16"/>
          <w:szCs w:val="16"/>
        </w:rPr>
        <w:t xml:space="preserve">, terutama pada </w:t>
      </w:r>
      <w:r w:rsidR="008A51C5" w:rsidRPr="00D46C80">
        <w:rPr>
          <w:rFonts w:ascii="Arial" w:hAnsi="Arial" w:cs="Arial"/>
          <w:sz w:val="16"/>
          <w:szCs w:val="16"/>
        </w:rPr>
        <w:t>gusi</w:t>
      </w:r>
      <w:r w:rsidRPr="00D46C80">
        <w:rPr>
          <w:rFonts w:ascii="Arial" w:hAnsi="Arial" w:cs="Arial"/>
          <w:sz w:val="16"/>
          <w:szCs w:val="16"/>
        </w:rPr>
        <w:t xml:space="preserve"> regio 2 dan 3.</w:t>
      </w:r>
      <w:proofErr w:type="gramEnd"/>
    </w:p>
    <w:p w14:paraId="62FEB173" w14:textId="77777777" w:rsidR="00DC2F98" w:rsidRPr="00C14CDB" w:rsidRDefault="00DC2F98" w:rsidP="003F774E">
      <w:pPr>
        <w:spacing w:after="0" w:line="360" w:lineRule="auto"/>
        <w:jc w:val="both"/>
        <w:rPr>
          <w:rFonts w:ascii="Arial" w:hAnsi="Arial" w:cs="Arial"/>
          <w:sz w:val="24"/>
          <w:szCs w:val="24"/>
        </w:rPr>
      </w:pPr>
    </w:p>
    <w:p w14:paraId="5FEA82AF" w14:textId="77777777" w:rsidR="005174E2" w:rsidRPr="00C14CDB" w:rsidRDefault="00DC2F98" w:rsidP="005174E2">
      <w:pPr>
        <w:spacing w:after="0" w:line="360" w:lineRule="auto"/>
        <w:ind w:firstLine="720"/>
        <w:jc w:val="both"/>
        <w:rPr>
          <w:rFonts w:ascii="Arial" w:hAnsi="Arial" w:cs="Arial"/>
          <w:sz w:val="24"/>
          <w:szCs w:val="24"/>
          <w:lang w:val="id-ID"/>
        </w:rPr>
      </w:pPr>
      <w:r w:rsidRPr="00C14CDB">
        <w:rPr>
          <w:rFonts w:ascii="Arial" w:hAnsi="Arial" w:cs="Arial"/>
          <w:sz w:val="24"/>
          <w:szCs w:val="24"/>
        </w:rPr>
        <w:t xml:space="preserve">Pemeriksaan laboratorium darah menunjukkan terjadinya penurunan kadar pada hemoglobin, hematokrit, eritrosit, leukosit, trombosit, neutrofil batang serta monosit. Sedangkan terjadi peningkatan kadar </w:t>
      </w:r>
      <w:r w:rsidRPr="00C14CDB">
        <w:rPr>
          <w:rFonts w:ascii="Arial" w:hAnsi="Arial" w:cs="Arial"/>
          <w:i/>
          <w:sz w:val="24"/>
          <w:szCs w:val="24"/>
        </w:rPr>
        <w:t>Mean Corpuscular Volume</w:t>
      </w:r>
      <w:r w:rsidRPr="00C14CDB">
        <w:rPr>
          <w:rFonts w:ascii="Arial" w:hAnsi="Arial" w:cs="Arial"/>
          <w:sz w:val="24"/>
          <w:szCs w:val="24"/>
        </w:rPr>
        <w:t xml:space="preserve"> (MCV), </w:t>
      </w:r>
      <w:r w:rsidRPr="00C14CDB">
        <w:rPr>
          <w:rFonts w:ascii="Arial" w:hAnsi="Arial" w:cs="Arial"/>
          <w:i/>
          <w:sz w:val="24"/>
          <w:szCs w:val="24"/>
        </w:rPr>
        <w:t>Mean Corpuscular Hemoglobin</w:t>
      </w:r>
      <w:r w:rsidRPr="00C14CDB">
        <w:rPr>
          <w:rFonts w:ascii="Arial" w:hAnsi="Arial" w:cs="Arial"/>
          <w:sz w:val="24"/>
          <w:szCs w:val="24"/>
        </w:rPr>
        <w:t xml:space="preserve"> (MCH), </w:t>
      </w:r>
      <w:r w:rsidRPr="00C14CDB">
        <w:rPr>
          <w:rFonts w:ascii="Arial" w:hAnsi="Arial" w:cs="Arial"/>
          <w:i/>
          <w:sz w:val="24"/>
          <w:szCs w:val="24"/>
        </w:rPr>
        <w:t>Mean Corpuscular Hemoglobin Concentration</w:t>
      </w:r>
      <w:r w:rsidRPr="00C14CDB">
        <w:rPr>
          <w:rFonts w:ascii="Arial" w:hAnsi="Arial" w:cs="Arial"/>
          <w:sz w:val="24"/>
          <w:szCs w:val="24"/>
        </w:rPr>
        <w:t xml:space="preserve"> (MCHC), dan limfosit </w:t>
      </w:r>
      <w:r w:rsidR="006F2DFC" w:rsidRPr="00C14CDB">
        <w:rPr>
          <w:rFonts w:ascii="Arial" w:hAnsi="Arial" w:cs="Arial"/>
          <w:b/>
          <w:sz w:val="24"/>
          <w:szCs w:val="24"/>
        </w:rPr>
        <w:t>(Tabel 1)</w:t>
      </w:r>
      <w:r w:rsidR="006F2DFC" w:rsidRPr="00C14CDB">
        <w:rPr>
          <w:rFonts w:ascii="Arial" w:hAnsi="Arial" w:cs="Arial"/>
          <w:sz w:val="24"/>
          <w:szCs w:val="24"/>
          <w:lang w:val="id-ID"/>
        </w:rPr>
        <w:t>.</w:t>
      </w:r>
    </w:p>
    <w:p w14:paraId="42A461B8" w14:textId="77777777" w:rsidR="00DC2F98" w:rsidRPr="00C14CDB" w:rsidRDefault="00DC2F98" w:rsidP="005174E2">
      <w:pPr>
        <w:spacing w:after="0" w:line="360" w:lineRule="auto"/>
        <w:jc w:val="both"/>
        <w:rPr>
          <w:rFonts w:ascii="Arial" w:hAnsi="Arial" w:cs="Arial"/>
          <w:sz w:val="24"/>
          <w:szCs w:val="24"/>
        </w:rPr>
      </w:pPr>
      <w:r w:rsidRPr="00C14CDB">
        <w:rPr>
          <w:rFonts w:ascii="Arial" w:hAnsi="Arial" w:cs="Arial"/>
          <w:b/>
          <w:sz w:val="24"/>
          <w:szCs w:val="24"/>
        </w:rPr>
        <w:t>Tabel 1</w:t>
      </w:r>
      <w:r w:rsidRPr="00C14CDB">
        <w:rPr>
          <w:rFonts w:ascii="Arial" w:hAnsi="Arial" w:cs="Arial"/>
          <w:sz w:val="24"/>
          <w:szCs w:val="24"/>
        </w:rPr>
        <w:t>. Hasil pemeriksaan laboratorium darah pada kasus di atas.</w:t>
      </w:r>
    </w:p>
    <w:tbl>
      <w:tblPr>
        <w:tblStyle w:val="ListTable1Light-Accent31"/>
        <w:tblW w:w="9741" w:type="dxa"/>
        <w:tblLook w:val="04A0" w:firstRow="1" w:lastRow="0" w:firstColumn="1" w:lastColumn="0" w:noHBand="0" w:noVBand="1"/>
      </w:tblPr>
      <w:tblGrid>
        <w:gridCol w:w="629"/>
        <w:gridCol w:w="2627"/>
        <w:gridCol w:w="1984"/>
        <w:gridCol w:w="1559"/>
        <w:gridCol w:w="2942"/>
      </w:tblGrid>
      <w:tr w:rsidR="00DC2F98" w:rsidRPr="00C14CDB" w14:paraId="27CE2188" w14:textId="77777777" w:rsidTr="00634073">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629" w:type="dxa"/>
          </w:tcPr>
          <w:p w14:paraId="3745AA22" w14:textId="77777777" w:rsidR="00DC2F98" w:rsidRPr="00C14CDB" w:rsidRDefault="00DC2F98" w:rsidP="005174E2">
            <w:pPr>
              <w:spacing w:line="360" w:lineRule="auto"/>
              <w:jc w:val="center"/>
              <w:rPr>
                <w:rFonts w:ascii="Arial" w:hAnsi="Arial" w:cs="Arial"/>
              </w:rPr>
            </w:pPr>
            <w:r w:rsidRPr="00C14CDB">
              <w:rPr>
                <w:rFonts w:ascii="Arial" w:hAnsi="Arial" w:cs="Arial"/>
              </w:rPr>
              <w:t>No.</w:t>
            </w:r>
          </w:p>
        </w:tc>
        <w:tc>
          <w:tcPr>
            <w:tcW w:w="2627" w:type="dxa"/>
          </w:tcPr>
          <w:p w14:paraId="069CAF79" w14:textId="77777777" w:rsidR="00DC2F98" w:rsidRPr="00C14CDB" w:rsidRDefault="00DC2F98" w:rsidP="005174E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Nama</w:t>
            </w:r>
          </w:p>
        </w:tc>
        <w:tc>
          <w:tcPr>
            <w:tcW w:w="1984" w:type="dxa"/>
          </w:tcPr>
          <w:p w14:paraId="4404759F" w14:textId="77777777" w:rsidR="00DC2F98" w:rsidRPr="00C14CDB" w:rsidRDefault="00DC2F98" w:rsidP="005174E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Hasil</w:t>
            </w:r>
          </w:p>
        </w:tc>
        <w:tc>
          <w:tcPr>
            <w:tcW w:w="1559" w:type="dxa"/>
          </w:tcPr>
          <w:p w14:paraId="7A21253B" w14:textId="77777777" w:rsidR="00DC2F98" w:rsidRPr="00C14CDB" w:rsidRDefault="00DC2F98" w:rsidP="005174E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Satuan</w:t>
            </w:r>
          </w:p>
        </w:tc>
        <w:tc>
          <w:tcPr>
            <w:tcW w:w="2942" w:type="dxa"/>
          </w:tcPr>
          <w:p w14:paraId="649E4BC8" w14:textId="77777777" w:rsidR="00DC2F98" w:rsidRPr="00C14CDB" w:rsidRDefault="00DC2F98" w:rsidP="005174E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Nilai Rujukan</w:t>
            </w:r>
          </w:p>
        </w:tc>
      </w:tr>
      <w:tr w:rsidR="00DC2F98" w:rsidRPr="00C14CDB" w14:paraId="080A627D" w14:textId="77777777" w:rsidTr="0063407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29" w:type="dxa"/>
          </w:tcPr>
          <w:p w14:paraId="29E92B22" w14:textId="77777777" w:rsidR="00DC2F98" w:rsidRPr="00C14CDB" w:rsidRDefault="00DC2F98" w:rsidP="005174E2">
            <w:pPr>
              <w:spacing w:line="360" w:lineRule="auto"/>
              <w:jc w:val="center"/>
              <w:rPr>
                <w:rFonts w:ascii="Arial" w:hAnsi="Arial" w:cs="Arial"/>
              </w:rPr>
            </w:pPr>
            <w:r w:rsidRPr="00C14CDB">
              <w:rPr>
                <w:rFonts w:ascii="Arial" w:hAnsi="Arial" w:cs="Arial"/>
              </w:rPr>
              <w:t>1.</w:t>
            </w:r>
          </w:p>
        </w:tc>
        <w:tc>
          <w:tcPr>
            <w:tcW w:w="2627" w:type="dxa"/>
          </w:tcPr>
          <w:p w14:paraId="71289130" w14:textId="77777777" w:rsidR="00DC2F98" w:rsidRPr="00C14CDB" w:rsidRDefault="00DC2F98" w:rsidP="005174E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Hemoglobin</w:t>
            </w:r>
          </w:p>
        </w:tc>
        <w:tc>
          <w:tcPr>
            <w:tcW w:w="1984" w:type="dxa"/>
          </w:tcPr>
          <w:p w14:paraId="3C56D679"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7,1</w:t>
            </w:r>
            <w:r w:rsidRPr="00C14CDB">
              <w:rPr>
                <w:rFonts w:ascii="Arial" w:hAnsi="Arial" w:cs="Arial"/>
                <w:vertAlign w:val="superscript"/>
              </w:rPr>
              <w:t>(L)</w:t>
            </w:r>
          </w:p>
        </w:tc>
        <w:tc>
          <w:tcPr>
            <w:tcW w:w="1559" w:type="dxa"/>
          </w:tcPr>
          <w:p w14:paraId="6A6EB97E"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g/dL</w:t>
            </w:r>
          </w:p>
        </w:tc>
        <w:tc>
          <w:tcPr>
            <w:tcW w:w="2942" w:type="dxa"/>
          </w:tcPr>
          <w:p w14:paraId="34CF194D"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14-17,4</w:t>
            </w:r>
          </w:p>
        </w:tc>
      </w:tr>
      <w:tr w:rsidR="00DC2F98" w:rsidRPr="00C14CDB" w14:paraId="34EA2688" w14:textId="77777777" w:rsidTr="00634073">
        <w:trPr>
          <w:trHeight w:val="291"/>
        </w:trPr>
        <w:tc>
          <w:tcPr>
            <w:cnfStyle w:val="001000000000" w:firstRow="0" w:lastRow="0" w:firstColumn="1" w:lastColumn="0" w:oddVBand="0" w:evenVBand="0" w:oddHBand="0" w:evenHBand="0" w:firstRowFirstColumn="0" w:firstRowLastColumn="0" w:lastRowFirstColumn="0" w:lastRowLastColumn="0"/>
            <w:tcW w:w="629" w:type="dxa"/>
          </w:tcPr>
          <w:p w14:paraId="1170FBC7" w14:textId="77777777" w:rsidR="00DC2F98" w:rsidRPr="00C14CDB" w:rsidRDefault="00DC2F98" w:rsidP="005174E2">
            <w:pPr>
              <w:spacing w:line="360" w:lineRule="auto"/>
              <w:jc w:val="center"/>
              <w:rPr>
                <w:rFonts w:ascii="Arial" w:hAnsi="Arial" w:cs="Arial"/>
              </w:rPr>
            </w:pPr>
            <w:r w:rsidRPr="00C14CDB">
              <w:rPr>
                <w:rFonts w:ascii="Arial" w:hAnsi="Arial" w:cs="Arial"/>
              </w:rPr>
              <w:t>2.</w:t>
            </w:r>
          </w:p>
        </w:tc>
        <w:tc>
          <w:tcPr>
            <w:tcW w:w="2627" w:type="dxa"/>
          </w:tcPr>
          <w:p w14:paraId="3677B4C5" w14:textId="77777777" w:rsidR="00DC2F98" w:rsidRPr="00C14CDB" w:rsidRDefault="00DC2F98" w:rsidP="005174E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Hematokrit</w:t>
            </w:r>
          </w:p>
        </w:tc>
        <w:tc>
          <w:tcPr>
            <w:tcW w:w="1984" w:type="dxa"/>
          </w:tcPr>
          <w:p w14:paraId="295EBB3D"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18,0</w:t>
            </w:r>
            <w:r w:rsidRPr="00C14CDB">
              <w:rPr>
                <w:rFonts w:ascii="Arial" w:hAnsi="Arial" w:cs="Arial"/>
                <w:vertAlign w:val="superscript"/>
              </w:rPr>
              <w:t>(LL)</w:t>
            </w:r>
          </w:p>
        </w:tc>
        <w:tc>
          <w:tcPr>
            <w:tcW w:w="1559" w:type="dxa"/>
          </w:tcPr>
          <w:p w14:paraId="3241EC8D"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w:t>
            </w:r>
          </w:p>
        </w:tc>
        <w:tc>
          <w:tcPr>
            <w:tcW w:w="2942" w:type="dxa"/>
          </w:tcPr>
          <w:p w14:paraId="261CAB73"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41,5-50,4</w:t>
            </w:r>
          </w:p>
        </w:tc>
      </w:tr>
      <w:tr w:rsidR="00DC2F98" w:rsidRPr="00C14CDB" w14:paraId="7C4B6EA2" w14:textId="77777777" w:rsidTr="0063407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629" w:type="dxa"/>
          </w:tcPr>
          <w:p w14:paraId="15D4FB63" w14:textId="77777777" w:rsidR="00DC2F98" w:rsidRPr="00C14CDB" w:rsidRDefault="00DC2F98" w:rsidP="005174E2">
            <w:pPr>
              <w:spacing w:line="360" w:lineRule="auto"/>
              <w:jc w:val="center"/>
              <w:rPr>
                <w:rFonts w:ascii="Arial" w:hAnsi="Arial" w:cs="Arial"/>
              </w:rPr>
            </w:pPr>
            <w:r w:rsidRPr="00C14CDB">
              <w:rPr>
                <w:rFonts w:ascii="Arial" w:hAnsi="Arial" w:cs="Arial"/>
              </w:rPr>
              <w:t>3.</w:t>
            </w:r>
          </w:p>
        </w:tc>
        <w:tc>
          <w:tcPr>
            <w:tcW w:w="2627" w:type="dxa"/>
          </w:tcPr>
          <w:p w14:paraId="26BCBF7C" w14:textId="77777777" w:rsidR="00DC2F98" w:rsidRPr="00C14CDB" w:rsidRDefault="00DC2F98" w:rsidP="005174E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Eritrosit</w:t>
            </w:r>
          </w:p>
        </w:tc>
        <w:tc>
          <w:tcPr>
            <w:tcW w:w="1984" w:type="dxa"/>
          </w:tcPr>
          <w:p w14:paraId="320ACC91"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1,55</w:t>
            </w:r>
            <w:r w:rsidRPr="00C14CDB">
              <w:rPr>
                <w:rFonts w:ascii="Arial" w:hAnsi="Arial" w:cs="Arial"/>
                <w:vertAlign w:val="superscript"/>
              </w:rPr>
              <w:t>(L)</w:t>
            </w:r>
          </w:p>
        </w:tc>
        <w:tc>
          <w:tcPr>
            <w:tcW w:w="1559" w:type="dxa"/>
          </w:tcPr>
          <w:p w14:paraId="6356AC51"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Juta/uL</w:t>
            </w:r>
          </w:p>
        </w:tc>
        <w:tc>
          <w:tcPr>
            <w:tcW w:w="2942" w:type="dxa"/>
          </w:tcPr>
          <w:p w14:paraId="0F1D90DF"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4,5-5,9</w:t>
            </w:r>
          </w:p>
        </w:tc>
      </w:tr>
      <w:tr w:rsidR="00DC2F98" w:rsidRPr="00C14CDB" w14:paraId="155D32F8" w14:textId="77777777" w:rsidTr="00634073">
        <w:trPr>
          <w:trHeight w:val="273"/>
        </w:trPr>
        <w:tc>
          <w:tcPr>
            <w:cnfStyle w:val="001000000000" w:firstRow="0" w:lastRow="0" w:firstColumn="1" w:lastColumn="0" w:oddVBand="0" w:evenVBand="0" w:oddHBand="0" w:evenHBand="0" w:firstRowFirstColumn="0" w:firstRowLastColumn="0" w:lastRowFirstColumn="0" w:lastRowLastColumn="0"/>
            <w:tcW w:w="629" w:type="dxa"/>
          </w:tcPr>
          <w:p w14:paraId="74E042D2" w14:textId="77777777" w:rsidR="00DC2F98" w:rsidRPr="00C14CDB" w:rsidRDefault="00DC2F98" w:rsidP="005174E2">
            <w:pPr>
              <w:spacing w:line="360" w:lineRule="auto"/>
              <w:jc w:val="center"/>
              <w:rPr>
                <w:rFonts w:ascii="Arial" w:hAnsi="Arial" w:cs="Arial"/>
              </w:rPr>
            </w:pPr>
            <w:r w:rsidRPr="00C14CDB">
              <w:rPr>
                <w:rFonts w:ascii="Arial" w:hAnsi="Arial" w:cs="Arial"/>
              </w:rPr>
              <w:t>4.</w:t>
            </w:r>
          </w:p>
        </w:tc>
        <w:tc>
          <w:tcPr>
            <w:tcW w:w="2627" w:type="dxa"/>
          </w:tcPr>
          <w:p w14:paraId="5A7069CC" w14:textId="77777777" w:rsidR="00DC2F98" w:rsidRPr="00C14CDB" w:rsidRDefault="00DC2F98" w:rsidP="005174E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Leukosit</w:t>
            </w:r>
          </w:p>
        </w:tc>
        <w:tc>
          <w:tcPr>
            <w:tcW w:w="1984" w:type="dxa"/>
          </w:tcPr>
          <w:p w14:paraId="2597AC86"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4,10</w:t>
            </w:r>
            <w:r w:rsidRPr="00C14CDB">
              <w:rPr>
                <w:rFonts w:ascii="Arial" w:hAnsi="Arial" w:cs="Arial"/>
                <w:vertAlign w:val="superscript"/>
              </w:rPr>
              <w:t>(L)</w:t>
            </w:r>
          </w:p>
        </w:tc>
        <w:tc>
          <w:tcPr>
            <w:tcW w:w="1559" w:type="dxa"/>
          </w:tcPr>
          <w:p w14:paraId="46C25C5B"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vertAlign w:val="superscript"/>
              </w:rPr>
              <w:t>10^3</w:t>
            </w:r>
            <w:r w:rsidRPr="00C14CDB">
              <w:rPr>
                <w:rFonts w:ascii="Arial" w:hAnsi="Arial" w:cs="Arial"/>
              </w:rPr>
              <w:t>/uL</w:t>
            </w:r>
          </w:p>
        </w:tc>
        <w:tc>
          <w:tcPr>
            <w:tcW w:w="2942" w:type="dxa"/>
          </w:tcPr>
          <w:p w14:paraId="295DFA6F"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4,4-11,3</w:t>
            </w:r>
          </w:p>
        </w:tc>
      </w:tr>
      <w:tr w:rsidR="00DC2F98" w:rsidRPr="00C14CDB" w14:paraId="1ED75248" w14:textId="77777777" w:rsidTr="00634073">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29" w:type="dxa"/>
          </w:tcPr>
          <w:p w14:paraId="337901E0" w14:textId="77777777" w:rsidR="00DC2F98" w:rsidRPr="00C14CDB" w:rsidRDefault="00DC2F98" w:rsidP="005174E2">
            <w:pPr>
              <w:spacing w:line="360" w:lineRule="auto"/>
              <w:jc w:val="center"/>
              <w:rPr>
                <w:rFonts w:ascii="Arial" w:hAnsi="Arial" w:cs="Arial"/>
              </w:rPr>
            </w:pPr>
            <w:r w:rsidRPr="00C14CDB">
              <w:rPr>
                <w:rFonts w:ascii="Arial" w:hAnsi="Arial" w:cs="Arial"/>
              </w:rPr>
              <w:t>5.</w:t>
            </w:r>
          </w:p>
        </w:tc>
        <w:tc>
          <w:tcPr>
            <w:tcW w:w="2627" w:type="dxa"/>
          </w:tcPr>
          <w:p w14:paraId="4449C78A" w14:textId="77777777" w:rsidR="00DC2F98" w:rsidRPr="00C14CDB" w:rsidRDefault="00DC2F98" w:rsidP="005174E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Trombosit</w:t>
            </w:r>
          </w:p>
        </w:tc>
        <w:tc>
          <w:tcPr>
            <w:tcW w:w="1984" w:type="dxa"/>
          </w:tcPr>
          <w:p w14:paraId="5D78D8D1"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65</w:t>
            </w:r>
            <w:r w:rsidRPr="00C14CDB">
              <w:rPr>
                <w:rFonts w:ascii="Arial" w:hAnsi="Arial" w:cs="Arial"/>
                <w:vertAlign w:val="superscript"/>
              </w:rPr>
              <w:t>(L)</w:t>
            </w:r>
          </w:p>
        </w:tc>
        <w:tc>
          <w:tcPr>
            <w:tcW w:w="1559" w:type="dxa"/>
          </w:tcPr>
          <w:p w14:paraId="0022A20C"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Ribu/uL</w:t>
            </w:r>
          </w:p>
        </w:tc>
        <w:tc>
          <w:tcPr>
            <w:tcW w:w="2942" w:type="dxa"/>
          </w:tcPr>
          <w:p w14:paraId="4BAF4AD9"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150-450</w:t>
            </w:r>
          </w:p>
        </w:tc>
      </w:tr>
      <w:tr w:rsidR="00DC2F98" w:rsidRPr="00C14CDB" w14:paraId="057EAB61" w14:textId="77777777" w:rsidTr="00634073">
        <w:trPr>
          <w:trHeight w:val="325"/>
        </w:trPr>
        <w:tc>
          <w:tcPr>
            <w:cnfStyle w:val="001000000000" w:firstRow="0" w:lastRow="0" w:firstColumn="1" w:lastColumn="0" w:oddVBand="0" w:evenVBand="0" w:oddHBand="0" w:evenHBand="0" w:firstRowFirstColumn="0" w:firstRowLastColumn="0" w:lastRowFirstColumn="0" w:lastRowLastColumn="0"/>
            <w:tcW w:w="629" w:type="dxa"/>
          </w:tcPr>
          <w:p w14:paraId="457C6827" w14:textId="77777777" w:rsidR="00DC2F98" w:rsidRPr="00C14CDB" w:rsidRDefault="00DC2F98" w:rsidP="005174E2">
            <w:pPr>
              <w:spacing w:line="360" w:lineRule="auto"/>
              <w:jc w:val="center"/>
              <w:rPr>
                <w:rFonts w:ascii="Arial" w:hAnsi="Arial" w:cs="Arial"/>
              </w:rPr>
            </w:pPr>
            <w:r w:rsidRPr="00C14CDB">
              <w:rPr>
                <w:rFonts w:ascii="Arial" w:hAnsi="Arial" w:cs="Arial"/>
              </w:rPr>
              <w:t>6.</w:t>
            </w:r>
          </w:p>
        </w:tc>
        <w:tc>
          <w:tcPr>
            <w:tcW w:w="2627" w:type="dxa"/>
          </w:tcPr>
          <w:p w14:paraId="50B46B65" w14:textId="77777777" w:rsidR="00DC2F98" w:rsidRPr="00C14CDB" w:rsidRDefault="00DC2F98" w:rsidP="005174E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MCV</w:t>
            </w:r>
          </w:p>
        </w:tc>
        <w:tc>
          <w:tcPr>
            <w:tcW w:w="1984" w:type="dxa"/>
          </w:tcPr>
          <w:p w14:paraId="3488E99E"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109,0</w:t>
            </w:r>
            <w:r w:rsidRPr="00C14CDB">
              <w:rPr>
                <w:rFonts w:ascii="Arial" w:hAnsi="Arial" w:cs="Arial"/>
                <w:vertAlign w:val="superscript"/>
              </w:rPr>
              <w:t>(H)</w:t>
            </w:r>
          </w:p>
        </w:tc>
        <w:tc>
          <w:tcPr>
            <w:tcW w:w="1559" w:type="dxa"/>
          </w:tcPr>
          <w:p w14:paraId="037729C5"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fL</w:t>
            </w:r>
          </w:p>
        </w:tc>
        <w:tc>
          <w:tcPr>
            <w:tcW w:w="2942" w:type="dxa"/>
          </w:tcPr>
          <w:p w14:paraId="0D8A161A"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80-96</w:t>
            </w:r>
          </w:p>
        </w:tc>
      </w:tr>
      <w:tr w:rsidR="00DC2F98" w:rsidRPr="00C14CDB" w14:paraId="37D2D95A" w14:textId="77777777" w:rsidTr="00634073">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629" w:type="dxa"/>
          </w:tcPr>
          <w:p w14:paraId="67816A19" w14:textId="77777777" w:rsidR="00DC2F98" w:rsidRPr="00C14CDB" w:rsidRDefault="00DC2F98" w:rsidP="005174E2">
            <w:pPr>
              <w:spacing w:line="360" w:lineRule="auto"/>
              <w:jc w:val="center"/>
              <w:rPr>
                <w:rFonts w:ascii="Arial" w:hAnsi="Arial" w:cs="Arial"/>
              </w:rPr>
            </w:pPr>
            <w:r w:rsidRPr="00C14CDB">
              <w:rPr>
                <w:rFonts w:ascii="Arial" w:hAnsi="Arial" w:cs="Arial"/>
              </w:rPr>
              <w:t>7.</w:t>
            </w:r>
          </w:p>
        </w:tc>
        <w:tc>
          <w:tcPr>
            <w:tcW w:w="2627" w:type="dxa"/>
          </w:tcPr>
          <w:p w14:paraId="6AD03452" w14:textId="77777777" w:rsidR="00DC2F98" w:rsidRPr="00C14CDB" w:rsidRDefault="00DC2F98" w:rsidP="005174E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MCH</w:t>
            </w:r>
          </w:p>
        </w:tc>
        <w:tc>
          <w:tcPr>
            <w:tcW w:w="1984" w:type="dxa"/>
          </w:tcPr>
          <w:p w14:paraId="50741590"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45,8</w:t>
            </w:r>
            <w:r w:rsidRPr="00C14CDB">
              <w:rPr>
                <w:rFonts w:ascii="Arial" w:hAnsi="Arial" w:cs="Arial"/>
                <w:vertAlign w:val="superscript"/>
              </w:rPr>
              <w:t>(H)</w:t>
            </w:r>
          </w:p>
        </w:tc>
        <w:tc>
          <w:tcPr>
            <w:tcW w:w="1559" w:type="dxa"/>
          </w:tcPr>
          <w:p w14:paraId="106C252F"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pg</w:t>
            </w:r>
          </w:p>
        </w:tc>
        <w:tc>
          <w:tcPr>
            <w:tcW w:w="2942" w:type="dxa"/>
          </w:tcPr>
          <w:p w14:paraId="1FDB36D2"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27,5-33,2</w:t>
            </w:r>
          </w:p>
        </w:tc>
      </w:tr>
      <w:tr w:rsidR="00DC2F98" w:rsidRPr="00C14CDB" w14:paraId="67081C83" w14:textId="77777777" w:rsidTr="00634073">
        <w:trPr>
          <w:trHeight w:val="60"/>
        </w:trPr>
        <w:tc>
          <w:tcPr>
            <w:cnfStyle w:val="001000000000" w:firstRow="0" w:lastRow="0" w:firstColumn="1" w:lastColumn="0" w:oddVBand="0" w:evenVBand="0" w:oddHBand="0" w:evenHBand="0" w:firstRowFirstColumn="0" w:firstRowLastColumn="0" w:lastRowFirstColumn="0" w:lastRowLastColumn="0"/>
            <w:tcW w:w="629" w:type="dxa"/>
          </w:tcPr>
          <w:p w14:paraId="2EE91AFA" w14:textId="77777777" w:rsidR="00DC2F98" w:rsidRPr="00C14CDB" w:rsidRDefault="00DC2F98" w:rsidP="005174E2">
            <w:pPr>
              <w:spacing w:line="360" w:lineRule="auto"/>
              <w:jc w:val="center"/>
              <w:rPr>
                <w:rFonts w:ascii="Arial" w:hAnsi="Arial" w:cs="Arial"/>
              </w:rPr>
            </w:pPr>
            <w:r w:rsidRPr="00C14CDB">
              <w:rPr>
                <w:rFonts w:ascii="Arial" w:hAnsi="Arial" w:cs="Arial"/>
              </w:rPr>
              <w:t>8.</w:t>
            </w:r>
          </w:p>
        </w:tc>
        <w:tc>
          <w:tcPr>
            <w:tcW w:w="2627" w:type="dxa"/>
          </w:tcPr>
          <w:p w14:paraId="3FBCB506" w14:textId="77777777" w:rsidR="00DC2F98" w:rsidRPr="00C14CDB" w:rsidRDefault="00DC2F98" w:rsidP="005174E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MCHC</w:t>
            </w:r>
          </w:p>
        </w:tc>
        <w:tc>
          <w:tcPr>
            <w:tcW w:w="1984" w:type="dxa"/>
          </w:tcPr>
          <w:p w14:paraId="4579769B"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42,0</w:t>
            </w:r>
            <w:r w:rsidRPr="00C14CDB">
              <w:rPr>
                <w:rFonts w:ascii="Arial" w:hAnsi="Arial" w:cs="Arial"/>
                <w:vertAlign w:val="superscript"/>
              </w:rPr>
              <w:t>(H)</w:t>
            </w:r>
          </w:p>
        </w:tc>
        <w:tc>
          <w:tcPr>
            <w:tcW w:w="1559" w:type="dxa"/>
          </w:tcPr>
          <w:p w14:paraId="5FC7E077"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w:t>
            </w:r>
          </w:p>
        </w:tc>
        <w:tc>
          <w:tcPr>
            <w:tcW w:w="2942" w:type="dxa"/>
          </w:tcPr>
          <w:p w14:paraId="11FB0C00"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33,4-35,5</w:t>
            </w:r>
          </w:p>
        </w:tc>
      </w:tr>
      <w:tr w:rsidR="00DC2F98" w:rsidRPr="00C14CDB" w14:paraId="32AC4609" w14:textId="77777777" w:rsidTr="00634073">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629" w:type="dxa"/>
          </w:tcPr>
          <w:p w14:paraId="3D3AB67D" w14:textId="77777777" w:rsidR="00DC2F98" w:rsidRPr="00C14CDB" w:rsidRDefault="00DC2F98" w:rsidP="005174E2">
            <w:pPr>
              <w:spacing w:line="360" w:lineRule="auto"/>
              <w:jc w:val="center"/>
              <w:rPr>
                <w:rFonts w:ascii="Arial" w:hAnsi="Arial" w:cs="Arial"/>
              </w:rPr>
            </w:pPr>
            <w:r w:rsidRPr="00C14CDB">
              <w:rPr>
                <w:rFonts w:ascii="Arial" w:hAnsi="Arial" w:cs="Arial"/>
              </w:rPr>
              <w:t>9.</w:t>
            </w:r>
          </w:p>
        </w:tc>
        <w:tc>
          <w:tcPr>
            <w:tcW w:w="2627" w:type="dxa"/>
          </w:tcPr>
          <w:p w14:paraId="1077BEA4" w14:textId="77777777" w:rsidR="00DC2F98" w:rsidRPr="00C14CDB" w:rsidRDefault="00DC2F98" w:rsidP="005174E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Neutrofil Batang</w:t>
            </w:r>
          </w:p>
        </w:tc>
        <w:tc>
          <w:tcPr>
            <w:tcW w:w="1984" w:type="dxa"/>
          </w:tcPr>
          <w:p w14:paraId="5CD95C43"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0</w:t>
            </w:r>
            <w:r w:rsidRPr="00C14CDB">
              <w:rPr>
                <w:rFonts w:ascii="Arial" w:hAnsi="Arial" w:cs="Arial"/>
                <w:vertAlign w:val="superscript"/>
              </w:rPr>
              <w:t>(L)</w:t>
            </w:r>
          </w:p>
        </w:tc>
        <w:tc>
          <w:tcPr>
            <w:tcW w:w="1559" w:type="dxa"/>
          </w:tcPr>
          <w:p w14:paraId="19B56982"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w:t>
            </w:r>
          </w:p>
        </w:tc>
        <w:tc>
          <w:tcPr>
            <w:tcW w:w="2942" w:type="dxa"/>
          </w:tcPr>
          <w:p w14:paraId="5F9D5AAB"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3-5</w:t>
            </w:r>
          </w:p>
        </w:tc>
      </w:tr>
      <w:tr w:rsidR="00DC2F98" w:rsidRPr="00C14CDB" w14:paraId="315E6905" w14:textId="77777777" w:rsidTr="00634073">
        <w:trPr>
          <w:trHeight w:val="60"/>
        </w:trPr>
        <w:tc>
          <w:tcPr>
            <w:cnfStyle w:val="001000000000" w:firstRow="0" w:lastRow="0" w:firstColumn="1" w:lastColumn="0" w:oddVBand="0" w:evenVBand="0" w:oddHBand="0" w:evenHBand="0" w:firstRowFirstColumn="0" w:firstRowLastColumn="0" w:lastRowFirstColumn="0" w:lastRowLastColumn="0"/>
            <w:tcW w:w="629" w:type="dxa"/>
          </w:tcPr>
          <w:p w14:paraId="1607A109" w14:textId="77777777" w:rsidR="00DC2F98" w:rsidRPr="00C14CDB" w:rsidRDefault="00DC2F98" w:rsidP="005174E2">
            <w:pPr>
              <w:spacing w:line="360" w:lineRule="auto"/>
              <w:jc w:val="center"/>
              <w:rPr>
                <w:rFonts w:ascii="Arial" w:hAnsi="Arial" w:cs="Arial"/>
              </w:rPr>
            </w:pPr>
            <w:r w:rsidRPr="00C14CDB">
              <w:rPr>
                <w:rFonts w:ascii="Arial" w:hAnsi="Arial" w:cs="Arial"/>
              </w:rPr>
              <w:t>10.</w:t>
            </w:r>
          </w:p>
        </w:tc>
        <w:tc>
          <w:tcPr>
            <w:tcW w:w="2627" w:type="dxa"/>
          </w:tcPr>
          <w:p w14:paraId="3DB9A0F9" w14:textId="77777777" w:rsidR="00DC2F98" w:rsidRPr="00C14CDB" w:rsidRDefault="00DC2F98" w:rsidP="005174E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Limfosit</w:t>
            </w:r>
          </w:p>
        </w:tc>
        <w:tc>
          <w:tcPr>
            <w:tcW w:w="1984" w:type="dxa"/>
          </w:tcPr>
          <w:p w14:paraId="15614DF8"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52</w:t>
            </w:r>
            <w:r w:rsidRPr="00C14CDB">
              <w:rPr>
                <w:rFonts w:ascii="Arial" w:hAnsi="Arial" w:cs="Arial"/>
                <w:vertAlign w:val="superscript"/>
              </w:rPr>
              <w:t>(H)</w:t>
            </w:r>
          </w:p>
        </w:tc>
        <w:tc>
          <w:tcPr>
            <w:tcW w:w="1559" w:type="dxa"/>
          </w:tcPr>
          <w:p w14:paraId="50F8F0F2"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w:t>
            </w:r>
          </w:p>
        </w:tc>
        <w:tc>
          <w:tcPr>
            <w:tcW w:w="2942" w:type="dxa"/>
          </w:tcPr>
          <w:p w14:paraId="7940432F" w14:textId="77777777" w:rsidR="00DC2F98" w:rsidRPr="00C14CDB" w:rsidRDefault="00DC2F98" w:rsidP="005174E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14CDB">
              <w:rPr>
                <w:rFonts w:ascii="Arial" w:hAnsi="Arial" w:cs="Arial"/>
              </w:rPr>
              <w:t>18-44</w:t>
            </w:r>
          </w:p>
        </w:tc>
      </w:tr>
      <w:tr w:rsidR="00DC2F98" w:rsidRPr="00C14CDB" w14:paraId="5E7EE1BA" w14:textId="77777777" w:rsidTr="00634073">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629" w:type="dxa"/>
          </w:tcPr>
          <w:p w14:paraId="0DEFC3E7" w14:textId="77777777" w:rsidR="00DC2F98" w:rsidRPr="00C14CDB" w:rsidRDefault="00DC2F98" w:rsidP="005174E2">
            <w:pPr>
              <w:spacing w:line="360" w:lineRule="auto"/>
              <w:jc w:val="center"/>
              <w:rPr>
                <w:rFonts w:ascii="Arial" w:hAnsi="Arial" w:cs="Arial"/>
              </w:rPr>
            </w:pPr>
            <w:r w:rsidRPr="00C14CDB">
              <w:rPr>
                <w:rFonts w:ascii="Arial" w:hAnsi="Arial" w:cs="Arial"/>
              </w:rPr>
              <w:t>11.</w:t>
            </w:r>
          </w:p>
        </w:tc>
        <w:tc>
          <w:tcPr>
            <w:tcW w:w="2627" w:type="dxa"/>
          </w:tcPr>
          <w:p w14:paraId="423B3BA7" w14:textId="77777777" w:rsidR="00DC2F98" w:rsidRPr="00C14CDB" w:rsidRDefault="00DC2F98" w:rsidP="005174E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Monosit</w:t>
            </w:r>
          </w:p>
        </w:tc>
        <w:tc>
          <w:tcPr>
            <w:tcW w:w="1984" w:type="dxa"/>
          </w:tcPr>
          <w:p w14:paraId="756C3B20"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2</w:t>
            </w:r>
            <w:r w:rsidRPr="00C14CDB">
              <w:rPr>
                <w:rFonts w:ascii="Arial" w:hAnsi="Arial" w:cs="Arial"/>
                <w:vertAlign w:val="superscript"/>
              </w:rPr>
              <w:t>(L)</w:t>
            </w:r>
          </w:p>
        </w:tc>
        <w:tc>
          <w:tcPr>
            <w:tcW w:w="1559" w:type="dxa"/>
          </w:tcPr>
          <w:p w14:paraId="54252313"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w:t>
            </w:r>
          </w:p>
        </w:tc>
        <w:tc>
          <w:tcPr>
            <w:tcW w:w="2942" w:type="dxa"/>
          </w:tcPr>
          <w:p w14:paraId="2FBF71D6" w14:textId="77777777" w:rsidR="00DC2F98" w:rsidRPr="00C14CDB" w:rsidRDefault="00DC2F98" w:rsidP="00517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14CDB">
              <w:rPr>
                <w:rFonts w:ascii="Arial" w:hAnsi="Arial" w:cs="Arial"/>
              </w:rPr>
              <w:t>3-8</w:t>
            </w:r>
          </w:p>
        </w:tc>
      </w:tr>
    </w:tbl>
    <w:p w14:paraId="44A6853F" w14:textId="77777777" w:rsidR="00DC2F98" w:rsidRPr="00D46C80" w:rsidRDefault="00DC2F98" w:rsidP="005174E2">
      <w:pPr>
        <w:spacing w:line="360" w:lineRule="auto"/>
        <w:jc w:val="both"/>
        <w:rPr>
          <w:rFonts w:ascii="Arial" w:hAnsi="Arial" w:cs="Arial"/>
          <w:b/>
          <w:i/>
          <w:sz w:val="16"/>
          <w:szCs w:val="20"/>
        </w:rPr>
      </w:pPr>
      <w:r w:rsidRPr="00D46C80">
        <w:rPr>
          <w:rFonts w:ascii="Arial" w:hAnsi="Arial" w:cs="Arial"/>
          <w:b/>
          <w:i/>
          <w:sz w:val="16"/>
          <w:szCs w:val="20"/>
        </w:rPr>
        <w:t>Keterangan: (LL): Sangat rendah, (L): Rendah, (H): Tinggi</w:t>
      </w:r>
    </w:p>
    <w:p w14:paraId="43529236" w14:textId="144045AF" w:rsidR="00DC2F98" w:rsidRPr="00C14CDB" w:rsidRDefault="00DC2F98" w:rsidP="005174E2">
      <w:pPr>
        <w:spacing w:line="360" w:lineRule="auto"/>
        <w:jc w:val="both"/>
        <w:rPr>
          <w:rFonts w:ascii="Arial" w:hAnsi="Arial" w:cs="Arial"/>
          <w:sz w:val="24"/>
          <w:szCs w:val="24"/>
        </w:rPr>
      </w:pPr>
      <w:r w:rsidRPr="00C14CDB">
        <w:rPr>
          <w:rFonts w:ascii="Arial" w:hAnsi="Arial" w:cs="Arial"/>
          <w:sz w:val="24"/>
          <w:szCs w:val="24"/>
        </w:rPr>
        <w:lastRenderedPageBreak/>
        <w:tab/>
        <w:t xml:space="preserve">Berdasarkan pemeriksaan fisik dan laboratorium, kasus di atas didiagnosis dengan perdarahan </w:t>
      </w:r>
      <w:r w:rsidR="00AB39F3" w:rsidRPr="00C14CDB">
        <w:rPr>
          <w:rFonts w:ascii="Arial" w:hAnsi="Arial" w:cs="Arial"/>
          <w:sz w:val="24"/>
          <w:szCs w:val="24"/>
        </w:rPr>
        <w:t>gusi</w:t>
      </w:r>
      <w:r w:rsidRPr="00C14CDB">
        <w:rPr>
          <w:rFonts w:ascii="Arial" w:hAnsi="Arial" w:cs="Arial"/>
          <w:sz w:val="24"/>
          <w:szCs w:val="24"/>
        </w:rPr>
        <w:t xml:space="preserve"> </w:t>
      </w:r>
      <w:r w:rsidRPr="00C14CDB">
        <w:rPr>
          <w:rFonts w:ascii="Arial" w:hAnsi="Arial" w:cs="Arial"/>
          <w:i/>
          <w:sz w:val="24"/>
          <w:szCs w:val="24"/>
        </w:rPr>
        <w:t>et causa</w:t>
      </w:r>
      <w:r w:rsidRPr="00C14CDB">
        <w:rPr>
          <w:rFonts w:ascii="Arial" w:hAnsi="Arial" w:cs="Arial"/>
          <w:sz w:val="24"/>
          <w:szCs w:val="24"/>
        </w:rPr>
        <w:t xml:space="preserve"> </w:t>
      </w:r>
      <w:r w:rsidR="0090709A" w:rsidRPr="00C14CDB">
        <w:rPr>
          <w:rFonts w:ascii="Arial" w:hAnsi="Arial" w:cs="Arial"/>
          <w:sz w:val="24"/>
          <w:szCs w:val="24"/>
        </w:rPr>
        <w:t>Pansitopenia</w:t>
      </w:r>
      <w:r w:rsidRPr="00C14CDB">
        <w:rPr>
          <w:rFonts w:ascii="Arial" w:hAnsi="Arial" w:cs="Arial"/>
          <w:sz w:val="24"/>
          <w:szCs w:val="24"/>
        </w:rPr>
        <w:t xml:space="preserve"> perifer. Terapi yang diberikan adalah </w:t>
      </w:r>
      <w:r w:rsidR="0090709A" w:rsidRPr="00C14CDB">
        <w:rPr>
          <w:rFonts w:ascii="Arial" w:hAnsi="Arial" w:cs="Arial"/>
          <w:sz w:val="24"/>
          <w:szCs w:val="24"/>
        </w:rPr>
        <w:t xml:space="preserve">transfusi darah perhari 2 kantong darah dari bagian penyakit dalam dan perawatan dari bagian penyakit mulut yang sangat mendukung berhentinya pendarahan adalah </w:t>
      </w:r>
      <w:r w:rsidRPr="00C14CDB">
        <w:rPr>
          <w:rFonts w:ascii="Arial" w:hAnsi="Arial" w:cs="Arial"/>
          <w:sz w:val="24"/>
          <w:szCs w:val="24"/>
        </w:rPr>
        <w:t xml:space="preserve">memberikan </w:t>
      </w:r>
      <w:r w:rsidR="003E5CBE" w:rsidRPr="00C14CDB">
        <w:rPr>
          <w:rFonts w:ascii="Arial" w:hAnsi="Arial" w:cs="Arial"/>
          <w:i/>
          <w:sz w:val="24"/>
          <w:szCs w:val="24"/>
        </w:rPr>
        <w:t>rongga mulut</w:t>
      </w:r>
      <w:r w:rsidRPr="00C14CDB">
        <w:rPr>
          <w:rFonts w:ascii="Arial" w:hAnsi="Arial" w:cs="Arial"/>
          <w:i/>
          <w:sz w:val="24"/>
          <w:szCs w:val="24"/>
        </w:rPr>
        <w:t xml:space="preserve"> hygiene instruction</w:t>
      </w:r>
      <w:r w:rsidRPr="00C14CDB">
        <w:rPr>
          <w:rFonts w:ascii="Arial" w:hAnsi="Arial" w:cs="Arial"/>
          <w:sz w:val="24"/>
          <w:szCs w:val="24"/>
        </w:rPr>
        <w:t xml:space="preserve"> (OHI) dan komunikasi, informasi, dan edukasi (KIE) dengan menjaga kebersihan gigi dan mulut dengan membersihkan gigi 3 kali sehari dengan kassa yang dibasahi NaCl 0,9%, kompres bibir 3-5 kali sehari, dan kemudian mengoleskan </w:t>
      </w:r>
      <w:r w:rsidRPr="00C14CDB">
        <w:rPr>
          <w:rFonts w:ascii="Arial" w:hAnsi="Arial" w:cs="Arial"/>
          <w:i/>
          <w:sz w:val="24"/>
          <w:szCs w:val="24"/>
        </w:rPr>
        <w:t>Vaseline album</w:t>
      </w:r>
      <w:r w:rsidRPr="00C14CDB">
        <w:rPr>
          <w:rFonts w:ascii="Arial" w:hAnsi="Arial" w:cs="Arial"/>
          <w:sz w:val="24"/>
          <w:szCs w:val="24"/>
        </w:rPr>
        <w:t xml:space="preserve"> pada bibir yang kering. Pasien diinstruksikan untuk berkumur dengan asam traneksamat 500mg Disp. Vial 5ml yang dicampur dengan </w:t>
      </w:r>
      <w:r w:rsidRPr="00C14CDB">
        <w:rPr>
          <w:rFonts w:ascii="Arial" w:hAnsi="Arial" w:cs="Arial"/>
          <w:i/>
          <w:sz w:val="24"/>
          <w:szCs w:val="24"/>
        </w:rPr>
        <w:t>aquadest</w:t>
      </w:r>
      <w:r w:rsidRPr="00C14CDB">
        <w:rPr>
          <w:rFonts w:ascii="Arial" w:hAnsi="Arial" w:cs="Arial"/>
          <w:sz w:val="24"/>
          <w:szCs w:val="24"/>
        </w:rPr>
        <w:t xml:space="preserve"> 500 ml yang dilakukan 3 kali 10ml setiap sehari.  </w:t>
      </w:r>
    </w:p>
    <w:p w14:paraId="51BFF0AA" w14:textId="5EAD225A" w:rsidR="00DC2F98" w:rsidRPr="00C14CDB" w:rsidRDefault="00DC2F98" w:rsidP="005174E2">
      <w:pPr>
        <w:spacing w:line="360" w:lineRule="auto"/>
        <w:jc w:val="both"/>
        <w:rPr>
          <w:rFonts w:ascii="Arial" w:hAnsi="Arial" w:cs="Arial"/>
          <w:sz w:val="24"/>
          <w:szCs w:val="24"/>
        </w:rPr>
      </w:pPr>
      <w:r w:rsidRPr="00C14CDB">
        <w:rPr>
          <w:rFonts w:ascii="Arial" w:hAnsi="Arial" w:cs="Arial"/>
          <w:sz w:val="24"/>
          <w:szCs w:val="24"/>
        </w:rPr>
        <w:tab/>
        <w:t xml:space="preserve">Pada saat kontrol pertama, perdarahan pada gusi sudah berkurang, namun perdarahan muncul di lokasi yang berbeda. Pasien direncanakan akan dilakukan pemeriksaan </w:t>
      </w:r>
      <w:r w:rsidRPr="00C14CDB">
        <w:rPr>
          <w:rFonts w:ascii="Arial" w:hAnsi="Arial" w:cs="Arial"/>
          <w:i/>
          <w:sz w:val="24"/>
          <w:szCs w:val="24"/>
        </w:rPr>
        <w:t>bone marrow</w:t>
      </w:r>
      <w:r w:rsidRPr="00C14CDB">
        <w:rPr>
          <w:rFonts w:ascii="Arial" w:hAnsi="Arial" w:cs="Arial"/>
          <w:sz w:val="24"/>
          <w:szCs w:val="24"/>
        </w:rPr>
        <w:t xml:space="preserve"> untuk menegakkan diagnosis anemia aplastik. Terapi asam traneksamat ditingkatkan menjadi 4 kali 10ml dalam sehari serta mengkompres gusi selama 1 </w:t>
      </w:r>
      <w:r w:rsidR="003F774E" w:rsidRPr="00C14CDB">
        <w:rPr>
          <w:rFonts w:ascii="Arial" w:hAnsi="Arial" w:cs="Arial"/>
          <w:sz w:val="24"/>
          <w:szCs w:val="24"/>
        </w:rPr>
        <w:t xml:space="preserve">sampai 3 </w:t>
      </w:r>
      <w:r w:rsidRPr="00C14CDB">
        <w:rPr>
          <w:rFonts w:ascii="Arial" w:hAnsi="Arial" w:cs="Arial"/>
          <w:sz w:val="24"/>
          <w:szCs w:val="24"/>
        </w:rPr>
        <w:t>menit dengan kassa steril yang telah dibasahi larutan asam traneksamat.</w:t>
      </w:r>
    </w:p>
    <w:p w14:paraId="4B809BCC" w14:textId="77777777" w:rsidR="00DC2F98" w:rsidRDefault="00DC2F98" w:rsidP="005174E2">
      <w:pPr>
        <w:spacing w:line="360" w:lineRule="auto"/>
        <w:jc w:val="both"/>
        <w:rPr>
          <w:rFonts w:ascii="Arial" w:hAnsi="Arial" w:cs="Arial"/>
          <w:sz w:val="24"/>
          <w:szCs w:val="24"/>
          <w:lang w:val="id-ID"/>
        </w:rPr>
      </w:pPr>
      <w:r w:rsidRPr="00C14CDB">
        <w:rPr>
          <w:rFonts w:ascii="Arial" w:hAnsi="Arial" w:cs="Arial"/>
          <w:sz w:val="24"/>
          <w:szCs w:val="24"/>
        </w:rPr>
        <w:tab/>
        <w:t xml:space="preserve">Kontrol kedua menunjukkan berkurangnya perdarahan pada gusi, pasien menggunakan larutan asam traneksamat sesuai dengan instruksi (Gambar 2). Hasil pemeriksaan </w:t>
      </w:r>
      <w:r w:rsidRPr="00C14CDB">
        <w:rPr>
          <w:rFonts w:ascii="Arial" w:hAnsi="Arial" w:cs="Arial"/>
          <w:i/>
          <w:sz w:val="24"/>
          <w:szCs w:val="24"/>
        </w:rPr>
        <w:t>bone marrow</w:t>
      </w:r>
      <w:r w:rsidRPr="00C14CDB">
        <w:rPr>
          <w:rFonts w:ascii="Arial" w:hAnsi="Arial" w:cs="Arial"/>
          <w:sz w:val="24"/>
          <w:szCs w:val="24"/>
        </w:rPr>
        <w:t xml:space="preserve"> yang telah dilakukan menunjukkan bahwa spesimen sulit dinilai karena tidak terlihatnya fragmen sumsum tulang dan sarang-sarang hematopoetik sehingga disarankan dilakukan pengambilan spesimen ulang (Gambar 3). </w:t>
      </w:r>
      <w:proofErr w:type="gramStart"/>
      <w:r w:rsidRPr="00C14CDB">
        <w:rPr>
          <w:rFonts w:ascii="Arial" w:hAnsi="Arial" w:cs="Arial"/>
          <w:sz w:val="24"/>
          <w:szCs w:val="24"/>
        </w:rPr>
        <w:t>Pasien tetap diinstruksikan berkumur dengan larutan asam traneksamat 4 kali sehari serta kompres gusi dengan kassa yang dibasahi larutan asam traneksamat selama 1 menit.</w:t>
      </w:r>
      <w:proofErr w:type="gramEnd"/>
    </w:p>
    <w:p w14:paraId="0B6E2C80" w14:textId="77777777" w:rsidR="0028266E" w:rsidRDefault="0028266E" w:rsidP="005174E2">
      <w:pPr>
        <w:spacing w:line="360" w:lineRule="auto"/>
        <w:jc w:val="both"/>
        <w:rPr>
          <w:rFonts w:ascii="Arial" w:hAnsi="Arial" w:cs="Arial"/>
          <w:sz w:val="24"/>
          <w:szCs w:val="24"/>
          <w:lang w:val="id-ID"/>
        </w:rPr>
      </w:pPr>
    </w:p>
    <w:p w14:paraId="1CADD968" w14:textId="77777777" w:rsidR="0028266E" w:rsidRDefault="0028266E" w:rsidP="005174E2">
      <w:pPr>
        <w:spacing w:line="360" w:lineRule="auto"/>
        <w:jc w:val="both"/>
        <w:rPr>
          <w:rFonts w:ascii="Arial" w:hAnsi="Arial" w:cs="Arial"/>
          <w:sz w:val="24"/>
          <w:szCs w:val="24"/>
          <w:lang w:val="id-ID"/>
        </w:rPr>
      </w:pPr>
    </w:p>
    <w:p w14:paraId="547A3961" w14:textId="77777777" w:rsidR="0028266E" w:rsidRDefault="0028266E" w:rsidP="005174E2">
      <w:pPr>
        <w:spacing w:line="360" w:lineRule="auto"/>
        <w:jc w:val="both"/>
        <w:rPr>
          <w:rFonts w:ascii="Arial" w:hAnsi="Arial" w:cs="Arial"/>
          <w:sz w:val="24"/>
          <w:szCs w:val="24"/>
          <w:lang w:val="id-ID"/>
        </w:rPr>
      </w:pPr>
    </w:p>
    <w:p w14:paraId="6FF82CD4" w14:textId="77777777" w:rsidR="0028266E" w:rsidRPr="0028266E" w:rsidRDefault="0028266E" w:rsidP="005174E2">
      <w:pPr>
        <w:spacing w:line="360" w:lineRule="auto"/>
        <w:jc w:val="both"/>
        <w:rPr>
          <w:rFonts w:ascii="Arial" w:hAnsi="Arial" w:cs="Arial"/>
          <w:sz w:val="24"/>
          <w:szCs w:val="24"/>
          <w:lang w:val="id-ID"/>
        </w:rPr>
      </w:pPr>
    </w:p>
    <w:p w14:paraId="1FE5CC7C" w14:textId="77777777" w:rsidR="00D1433B" w:rsidRPr="00C14CDB" w:rsidRDefault="00D1433B" w:rsidP="005174E2">
      <w:pPr>
        <w:spacing w:line="360" w:lineRule="auto"/>
        <w:jc w:val="both"/>
        <w:rPr>
          <w:rFonts w:ascii="Arial" w:hAnsi="Arial" w:cs="Arial"/>
          <w:sz w:val="24"/>
          <w:szCs w:val="24"/>
          <w:lang w:val="id-ID"/>
        </w:rPr>
      </w:pPr>
      <w:r w:rsidRPr="00C14CDB">
        <w:rPr>
          <w:rFonts w:ascii="Arial" w:hAnsi="Arial" w:cs="Arial"/>
          <w:noProof/>
        </w:rPr>
        <w:lastRenderedPageBreak/>
        <w:drawing>
          <wp:anchor distT="0" distB="0" distL="114300" distR="114300" simplePos="0" relativeHeight="251658240" behindDoc="0" locked="0" layoutInCell="1" allowOverlap="1" wp14:anchorId="20FABEEC" wp14:editId="222AA65F">
            <wp:simplePos x="0" y="0"/>
            <wp:positionH relativeFrom="column">
              <wp:posOffset>1609090</wp:posOffset>
            </wp:positionH>
            <wp:positionV relativeFrom="paragraph">
              <wp:posOffset>-90923</wp:posOffset>
            </wp:positionV>
            <wp:extent cx="2882189" cy="219292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2189" cy="2192926"/>
                    </a:xfrm>
                    <a:prstGeom prst="rect">
                      <a:avLst/>
                    </a:prstGeom>
                  </pic:spPr>
                </pic:pic>
              </a:graphicData>
            </a:graphic>
            <wp14:sizeRelH relativeFrom="page">
              <wp14:pctWidth>0</wp14:pctWidth>
            </wp14:sizeRelH>
            <wp14:sizeRelV relativeFrom="page">
              <wp14:pctHeight>0</wp14:pctHeight>
            </wp14:sizeRelV>
          </wp:anchor>
        </w:drawing>
      </w:r>
    </w:p>
    <w:p w14:paraId="4DE26FB0" w14:textId="77777777" w:rsidR="00D1433B" w:rsidRPr="00C14CDB" w:rsidRDefault="00D1433B" w:rsidP="005174E2">
      <w:pPr>
        <w:spacing w:line="360" w:lineRule="auto"/>
        <w:jc w:val="both"/>
        <w:rPr>
          <w:rFonts w:ascii="Arial" w:hAnsi="Arial" w:cs="Arial"/>
          <w:sz w:val="24"/>
          <w:szCs w:val="24"/>
          <w:lang w:val="id-ID"/>
        </w:rPr>
      </w:pPr>
    </w:p>
    <w:p w14:paraId="02E38716" w14:textId="77777777" w:rsidR="00D1433B" w:rsidRPr="00C14CDB" w:rsidRDefault="00D1433B" w:rsidP="005174E2">
      <w:pPr>
        <w:spacing w:line="360" w:lineRule="auto"/>
        <w:jc w:val="both"/>
        <w:rPr>
          <w:rFonts w:ascii="Arial" w:hAnsi="Arial" w:cs="Arial"/>
          <w:sz w:val="24"/>
          <w:szCs w:val="24"/>
          <w:lang w:val="id-ID"/>
        </w:rPr>
      </w:pPr>
    </w:p>
    <w:p w14:paraId="6DC209CB" w14:textId="77777777" w:rsidR="00D1433B" w:rsidRPr="00C14CDB" w:rsidRDefault="00D1433B" w:rsidP="005174E2">
      <w:pPr>
        <w:spacing w:line="360" w:lineRule="auto"/>
        <w:jc w:val="both"/>
        <w:rPr>
          <w:rFonts w:ascii="Arial" w:hAnsi="Arial" w:cs="Arial"/>
          <w:sz w:val="24"/>
          <w:szCs w:val="24"/>
          <w:lang w:val="id-ID"/>
        </w:rPr>
      </w:pPr>
    </w:p>
    <w:p w14:paraId="47FE906F" w14:textId="77777777" w:rsidR="00D1433B" w:rsidRPr="00C14CDB" w:rsidRDefault="00D1433B" w:rsidP="005174E2">
      <w:pPr>
        <w:spacing w:line="360" w:lineRule="auto"/>
        <w:jc w:val="both"/>
        <w:rPr>
          <w:rFonts w:ascii="Arial" w:hAnsi="Arial" w:cs="Arial"/>
          <w:sz w:val="24"/>
          <w:szCs w:val="24"/>
          <w:lang w:val="id-ID"/>
        </w:rPr>
      </w:pPr>
    </w:p>
    <w:p w14:paraId="0BF7BB15" w14:textId="77777777" w:rsidR="00D1433B" w:rsidRPr="00C14CDB" w:rsidRDefault="00D1433B" w:rsidP="005174E2">
      <w:pPr>
        <w:spacing w:line="360" w:lineRule="auto"/>
        <w:jc w:val="both"/>
        <w:rPr>
          <w:rFonts w:ascii="Arial" w:hAnsi="Arial" w:cs="Arial"/>
          <w:sz w:val="24"/>
          <w:szCs w:val="24"/>
          <w:lang w:val="id-ID"/>
        </w:rPr>
      </w:pPr>
    </w:p>
    <w:p w14:paraId="782B9A30" w14:textId="17404270" w:rsidR="00DC2F98" w:rsidRPr="00D46C80" w:rsidRDefault="00DC2F98" w:rsidP="00C752CF">
      <w:pPr>
        <w:spacing w:after="0" w:line="360" w:lineRule="auto"/>
        <w:jc w:val="center"/>
        <w:rPr>
          <w:rFonts w:ascii="Arial" w:hAnsi="Arial" w:cs="Arial"/>
          <w:sz w:val="16"/>
          <w:szCs w:val="16"/>
        </w:rPr>
      </w:pPr>
      <w:proofErr w:type="gramStart"/>
      <w:r w:rsidRPr="00D46C80">
        <w:rPr>
          <w:rFonts w:ascii="Arial" w:hAnsi="Arial" w:cs="Arial"/>
          <w:b/>
          <w:sz w:val="16"/>
          <w:szCs w:val="16"/>
        </w:rPr>
        <w:t>Gambar 2.</w:t>
      </w:r>
      <w:proofErr w:type="gramEnd"/>
      <w:r w:rsidRPr="00D46C80">
        <w:rPr>
          <w:rFonts w:ascii="Arial" w:hAnsi="Arial" w:cs="Arial"/>
          <w:sz w:val="16"/>
          <w:szCs w:val="16"/>
        </w:rPr>
        <w:t xml:space="preserve"> </w:t>
      </w:r>
      <w:proofErr w:type="gramStart"/>
      <w:r w:rsidRPr="00D46C80">
        <w:rPr>
          <w:rFonts w:ascii="Arial" w:hAnsi="Arial" w:cs="Arial"/>
          <w:sz w:val="16"/>
          <w:szCs w:val="16"/>
        </w:rPr>
        <w:t>(</w:t>
      </w:r>
      <w:r w:rsidRPr="00D46C80">
        <w:rPr>
          <w:rFonts w:ascii="Arial" w:hAnsi="Arial" w:cs="Arial"/>
          <w:b/>
          <w:sz w:val="16"/>
          <w:szCs w:val="16"/>
        </w:rPr>
        <w:t>A, B</w:t>
      </w:r>
      <w:r w:rsidRPr="00D46C80">
        <w:rPr>
          <w:rFonts w:ascii="Arial" w:hAnsi="Arial" w:cs="Arial"/>
          <w:sz w:val="16"/>
          <w:szCs w:val="16"/>
        </w:rPr>
        <w:t>).</w:t>
      </w:r>
      <w:proofErr w:type="gramEnd"/>
      <w:r w:rsidRPr="00D46C80">
        <w:rPr>
          <w:rFonts w:ascii="Arial" w:hAnsi="Arial" w:cs="Arial"/>
          <w:sz w:val="16"/>
          <w:szCs w:val="16"/>
        </w:rPr>
        <w:t xml:space="preserve"> </w:t>
      </w:r>
      <w:proofErr w:type="gramStart"/>
      <w:r w:rsidRPr="00D46C80">
        <w:rPr>
          <w:rFonts w:ascii="Arial" w:hAnsi="Arial" w:cs="Arial"/>
          <w:sz w:val="16"/>
          <w:szCs w:val="16"/>
        </w:rPr>
        <w:t xml:space="preserve">Perdarahan pada </w:t>
      </w:r>
      <w:r w:rsidR="008A51C5" w:rsidRPr="00D46C80">
        <w:rPr>
          <w:rFonts w:ascii="Arial" w:hAnsi="Arial" w:cs="Arial"/>
          <w:sz w:val="16"/>
          <w:szCs w:val="16"/>
        </w:rPr>
        <w:t>gusi</w:t>
      </w:r>
      <w:r w:rsidRPr="00D46C80">
        <w:rPr>
          <w:rFonts w:ascii="Arial" w:hAnsi="Arial" w:cs="Arial"/>
          <w:sz w:val="16"/>
          <w:szCs w:val="16"/>
        </w:rPr>
        <w:t xml:space="preserve"> serta pada bibir serta mukosa labial.</w:t>
      </w:r>
      <w:proofErr w:type="gramEnd"/>
      <w:r w:rsidRPr="00D46C80">
        <w:rPr>
          <w:rFonts w:ascii="Arial" w:hAnsi="Arial" w:cs="Arial"/>
          <w:sz w:val="16"/>
          <w:szCs w:val="16"/>
        </w:rPr>
        <w:t xml:space="preserve"> </w:t>
      </w:r>
      <w:proofErr w:type="gramStart"/>
      <w:r w:rsidRPr="00D46C80">
        <w:rPr>
          <w:rFonts w:ascii="Arial" w:hAnsi="Arial" w:cs="Arial"/>
          <w:sz w:val="16"/>
          <w:szCs w:val="16"/>
        </w:rPr>
        <w:t>(</w:t>
      </w:r>
      <w:r w:rsidRPr="00D46C80">
        <w:rPr>
          <w:rFonts w:ascii="Arial" w:hAnsi="Arial" w:cs="Arial"/>
          <w:b/>
          <w:sz w:val="16"/>
          <w:szCs w:val="16"/>
        </w:rPr>
        <w:t>C, D</w:t>
      </w:r>
      <w:r w:rsidRPr="00D46C80">
        <w:rPr>
          <w:rFonts w:ascii="Arial" w:hAnsi="Arial" w:cs="Arial"/>
          <w:sz w:val="16"/>
          <w:szCs w:val="16"/>
        </w:rPr>
        <w:t>).</w:t>
      </w:r>
      <w:proofErr w:type="gramEnd"/>
      <w:r w:rsidRPr="00D46C80">
        <w:rPr>
          <w:rFonts w:ascii="Arial" w:hAnsi="Arial" w:cs="Arial"/>
          <w:sz w:val="16"/>
          <w:szCs w:val="16"/>
        </w:rPr>
        <w:t xml:space="preserve"> </w:t>
      </w:r>
      <w:proofErr w:type="gramStart"/>
      <w:r w:rsidRPr="00D46C80">
        <w:rPr>
          <w:rFonts w:ascii="Arial" w:hAnsi="Arial" w:cs="Arial"/>
          <w:sz w:val="16"/>
          <w:szCs w:val="16"/>
        </w:rPr>
        <w:t>Keadaan intra</w:t>
      </w:r>
      <w:r w:rsidR="003E5CBE" w:rsidRPr="00D46C80">
        <w:rPr>
          <w:rFonts w:ascii="Arial" w:hAnsi="Arial" w:cs="Arial"/>
          <w:sz w:val="16"/>
          <w:szCs w:val="16"/>
        </w:rPr>
        <w:t>rongga mulut</w:t>
      </w:r>
      <w:r w:rsidRPr="00D46C80">
        <w:rPr>
          <w:rFonts w:ascii="Arial" w:hAnsi="Arial" w:cs="Arial"/>
          <w:sz w:val="16"/>
          <w:szCs w:val="16"/>
        </w:rPr>
        <w:t xml:space="preserve"> pasien setelah terapi larutan asam traneksamat.</w:t>
      </w:r>
      <w:proofErr w:type="gramEnd"/>
    </w:p>
    <w:p w14:paraId="3BC712DB" w14:textId="77777777" w:rsidR="00DC2F98" w:rsidRPr="00C14CDB" w:rsidRDefault="00DC2F98" w:rsidP="005174E2">
      <w:pPr>
        <w:spacing w:after="0" w:line="360" w:lineRule="auto"/>
        <w:jc w:val="center"/>
        <w:rPr>
          <w:rFonts w:ascii="Arial" w:hAnsi="Arial" w:cs="Arial"/>
          <w:sz w:val="24"/>
          <w:szCs w:val="24"/>
        </w:rPr>
      </w:pPr>
    </w:p>
    <w:p w14:paraId="5F2B394B" w14:textId="77777777" w:rsidR="00DC2F98" w:rsidRPr="00C14CDB" w:rsidRDefault="00DC2F98" w:rsidP="005174E2">
      <w:pPr>
        <w:spacing w:line="360" w:lineRule="auto"/>
        <w:jc w:val="center"/>
        <w:rPr>
          <w:rFonts w:ascii="Arial" w:hAnsi="Arial" w:cs="Arial"/>
          <w:sz w:val="24"/>
          <w:szCs w:val="24"/>
        </w:rPr>
      </w:pPr>
      <w:r w:rsidRPr="00C14CDB">
        <w:rPr>
          <w:rFonts w:ascii="Arial" w:hAnsi="Arial" w:cs="Arial"/>
          <w:noProof/>
        </w:rPr>
        <w:drawing>
          <wp:inline distT="0" distB="0" distL="0" distR="0" wp14:anchorId="66949D7D" wp14:editId="6E6ABB78">
            <wp:extent cx="3619500" cy="27283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32139" cy="2737863"/>
                    </a:xfrm>
                    <a:prstGeom prst="rect">
                      <a:avLst/>
                    </a:prstGeom>
                  </pic:spPr>
                </pic:pic>
              </a:graphicData>
            </a:graphic>
          </wp:inline>
        </w:drawing>
      </w:r>
    </w:p>
    <w:p w14:paraId="1841D501" w14:textId="77777777" w:rsidR="00DC2F98" w:rsidRPr="00D46C80" w:rsidRDefault="00DC2F98" w:rsidP="005174E2">
      <w:pPr>
        <w:spacing w:line="360" w:lineRule="auto"/>
        <w:jc w:val="center"/>
        <w:rPr>
          <w:rFonts w:ascii="Arial" w:hAnsi="Arial" w:cs="Arial"/>
          <w:sz w:val="16"/>
          <w:szCs w:val="16"/>
          <w:lang w:val="id-ID"/>
        </w:rPr>
      </w:pPr>
      <w:proofErr w:type="gramStart"/>
      <w:r w:rsidRPr="00D46C80">
        <w:rPr>
          <w:rFonts w:ascii="Arial" w:hAnsi="Arial" w:cs="Arial"/>
          <w:b/>
          <w:sz w:val="16"/>
          <w:szCs w:val="16"/>
        </w:rPr>
        <w:t>Gambar 3</w:t>
      </w:r>
      <w:r w:rsidRPr="00D46C80">
        <w:rPr>
          <w:rFonts w:ascii="Arial" w:hAnsi="Arial" w:cs="Arial"/>
          <w:sz w:val="16"/>
          <w:szCs w:val="16"/>
        </w:rPr>
        <w:t>.</w:t>
      </w:r>
      <w:proofErr w:type="gramEnd"/>
      <w:r w:rsidRPr="00D46C80">
        <w:rPr>
          <w:rFonts w:ascii="Arial" w:hAnsi="Arial" w:cs="Arial"/>
          <w:sz w:val="16"/>
          <w:szCs w:val="16"/>
        </w:rPr>
        <w:t xml:space="preserve"> </w:t>
      </w:r>
      <w:proofErr w:type="gramStart"/>
      <w:r w:rsidRPr="00D46C80">
        <w:rPr>
          <w:rFonts w:ascii="Arial" w:hAnsi="Arial" w:cs="Arial"/>
          <w:sz w:val="16"/>
          <w:szCs w:val="16"/>
        </w:rPr>
        <w:t xml:space="preserve">Gambaran mikroskopis pada pemeriksaan </w:t>
      </w:r>
      <w:r w:rsidRPr="00D46C80">
        <w:rPr>
          <w:rFonts w:ascii="Arial" w:hAnsi="Arial" w:cs="Arial"/>
          <w:i/>
          <w:sz w:val="16"/>
          <w:szCs w:val="16"/>
        </w:rPr>
        <w:t>bone marrow</w:t>
      </w:r>
      <w:r w:rsidRPr="00D46C80">
        <w:rPr>
          <w:rFonts w:ascii="Arial" w:hAnsi="Arial" w:cs="Arial"/>
          <w:sz w:val="16"/>
          <w:szCs w:val="16"/>
        </w:rPr>
        <w:t xml:space="preserve"> pada pasien tersebut di atas dengan perbesaran 100x.</w:t>
      </w:r>
      <w:proofErr w:type="gramEnd"/>
    </w:p>
    <w:p w14:paraId="30954A47" w14:textId="77777777" w:rsidR="00DC2F98" w:rsidRPr="00C14CDB" w:rsidRDefault="00A1174E" w:rsidP="005174E2">
      <w:pPr>
        <w:spacing w:line="360" w:lineRule="auto"/>
        <w:jc w:val="both"/>
        <w:rPr>
          <w:rFonts w:ascii="Arial" w:hAnsi="Arial" w:cs="Arial"/>
          <w:sz w:val="24"/>
          <w:szCs w:val="24"/>
        </w:rPr>
      </w:pPr>
      <w:r w:rsidRPr="00C14CDB">
        <w:rPr>
          <w:rFonts w:ascii="Arial" w:hAnsi="Arial" w:cs="Arial"/>
          <w:sz w:val="24"/>
          <w:szCs w:val="24"/>
        </w:rPr>
        <w:tab/>
        <w:t xml:space="preserve">Pada kontrol </w:t>
      </w:r>
      <w:proofErr w:type="gramStart"/>
      <w:r w:rsidRPr="00C14CDB">
        <w:rPr>
          <w:rFonts w:ascii="Arial" w:hAnsi="Arial" w:cs="Arial"/>
          <w:sz w:val="24"/>
          <w:szCs w:val="24"/>
        </w:rPr>
        <w:t xml:space="preserve">ketiga </w:t>
      </w:r>
      <w:r w:rsidRPr="00C14CDB">
        <w:rPr>
          <w:rFonts w:ascii="Arial" w:hAnsi="Arial" w:cs="Arial"/>
          <w:sz w:val="24"/>
          <w:szCs w:val="24"/>
          <w:lang w:val="id-ID"/>
        </w:rPr>
        <w:t xml:space="preserve"> </w:t>
      </w:r>
      <w:r w:rsidR="00F077CB" w:rsidRPr="00C14CDB">
        <w:rPr>
          <w:rFonts w:ascii="Arial" w:hAnsi="Arial" w:cs="Arial"/>
          <w:sz w:val="24"/>
          <w:szCs w:val="24"/>
          <w:lang w:val="id-ID"/>
        </w:rPr>
        <w:t>pendarahan</w:t>
      </w:r>
      <w:proofErr w:type="gramEnd"/>
      <w:r w:rsidR="00F077CB" w:rsidRPr="00C14CDB">
        <w:rPr>
          <w:rFonts w:ascii="Arial" w:hAnsi="Arial" w:cs="Arial"/>
          <w:sz w:val="24"/>
          <w:szCs w:val="24"/>
          <w:lang w:val="id-ID"/>
        </w:rPr>
        <w:t xml:space="preserve"> pada gusi sangat berkurang, dengan rutin menggunakan </w:t>
      </w:r>
      <w:r w:rsidR="00DC2F98" w:rsidRPr="00C14CDB">
        <w:rPr>
          <w:rFonts w:ascii="Arial" w:hAnsi="Arial" w:cs="Arial"/>
          <w:sz w:val="24"/>
          <w:szCs w:val="24"/>
        </w:rPr>
        <w:t xml:space="preserve">terapi kumur larutan asam traneksamat serta kompres gusi dengan kassa yang dibasahi larutan asam traneksamat (Gambar 4). Pasien direncanakan pulang sehingga diberikan obat pulang berupa feracrylum 1% </w:t>
      </w:r>
      <w:r w:rsidR="00DC2F98" w:rsidRPr="00C14CDB">
        <w:rPr>
          <w:rFonts w:ascii="Arial" w:hAnsi="Arial" w:cs="Arial"/>
          <w:i/>
          <w:sz w:val="24"/>
          <w:szCs w:val="24"/>
        </w:rPr>
        <w:t>mouthwash</w:t>
      </w:r>
      <w:r w:rsidR="00DC2F98" w:rsidRPr="00C14CDB">
        <w:rPr>
          <w:rFonts w:ascii="Arial" w:hAnsi="Arial" w:cs="Arial"/>
          <w:sz w:val="24"/>
          <w:szCs w:val="24"/>
        </w:rPr>
        <w:t xml:space="preserve"> apabila kembali terjadi perdarahan. </w:t>
      </w:r>
    </w:p>
    <w:p w14:paraId="6A4F4122" w14:textId="77777777" w:rsidR="00DC2F98" w:rsidRPr="00C14CDB" w:rsidRDefault="00DC2F98" w:rsidP="005174E2">
      <w:pPr>
        <w:spacing w:after="0" w:line="360" w:lineRule="auto"/>
        <w:jc w:val="center"/>
        <w:rPr>
          <w:rFonts w:ascii="Arial" w:hAnsi="Arial" w:cs="Arial"/>
          <w:sz w:val="24"/>
          <w:szCs w:val="24"/>
        </w:rPr>
      </w:pPr>
      <w:r w:rsidRPr="00C14CDB">
        <w:rPr>
          <w:rFonts w:ascii="Arial" w:hAnsi="Arial" w:cs="Arial"/>
          <w:noProof/>
        </w:rPr>
        <w:lastRenderedPageBreak/>
        <w:drawing>
          <wp:inline distT="0" distB="0" distL="0" distR="0" wp14:anchorId="0FA6DC7D" wp14:editId="0F655E7C">
            <wp:extent cx="5943600" cy="13284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328420"/>
                    </a:xfrm>
                    <a:prstGeom prst="rect">
                      <a:avLst/>
                    </a:prstGeom>
                  </pic:spPr>
                </pic:pic>
              </a:graphicData>
            </a:graphic>
          </wp:inline>
        </w:drawing>
      </w:r>
    </w:p>
    <w:p w14:paraId="7D82B028" w14:textId="77777777" w:rsidR="00DC2F98" w:rsidRPr="00D46C80" w:rsidRDefault="00DC2F98" w:rsidP="005174E2">
      <w:pPr>
        <w:spacing w:after="0" w:line="360" w:lineRule="auto"/>
        <w:jc w:val="center"/>
        <w:rPr>
          <w:rFonts w:ascii="Arial" w:hAnsi="Arial" w:cs="Arial"/>
          <w:sz w:val="16"/>
          <w:szCs w:val="16"/>
          <w:lang w:val="id-ID"/>
        </w:rPr>
      </w:pPr>
      <w:proofErr w:type="gramStart"/>
      <w:r w:rsidRPr="00D46C80">
        <w:rPr>
          <w:rFonts w:ascii="Arial" w:hAnsi="Arial" w:cs="Arial"/>
          <w:b/>
          <w:sz w:val="16"/>
          <w:szCs w:val="16"/>
        </w:rPr>
        <w:t>Gambar 4.</w:t>
      </w:r>
      <w:proofErr w:type="gramEnd"/>
      <w:r w:rsidRPr="00D46C80">
        <w:rPr>
          <w:rFonts w:ascii="Arial" w:hAnsi="Arial" w:cs="Arial"/>
          <w:sz w:val="16"/>
          <w:szCs w:val="16"/>
        </w:rPr>
        <w:t xml:space="preserve"> </w:t>
      </w:r>
      <w:proofErr w:type="gramStart"/>
      <w:r w:rsidRPr="00D46C80">
        <w:rPr>
          <w:rFonts w:ascii="Arial" w:hAnsi="Arial" w:cs="Arial"/>
          <w:sz w:val="16"/>
          <w:szCs w:val="16"/>
        </w:rPr>
        <w:t>Keadaan rongga mulut pasien setalah terapi larutan asam traneksamat.</w:t>
      </w:r>
      <w:proofErr w:type="gramEnd"/>
    </w:p>
    <w:p w14:paraId="19ACE392" w14:textId="77777777" w:rsidR="005174E2" w:rsidRPr="00C14CDB" w:rsidRDefault="005174E2" w:rsidP="005174E2">
      <w:pPr>
        <w:spacing w:after="0" w:line="360" w:lineRule="auto"/>
        <w:jc w:val="center"/>
        <w:rPr>
          <w:rFonts w:ascii="Arial" w:hAnsi="Arial" w:cs="Arial"/>
          <w:sz w:val="24"/>
          <w:szCs w:val="24"/>
          <w:lang w:val="id-ID"/>
        </w:rPr>
      </w:pPr>
    </w:p>
    <w:p w14:paraId="18A32764" w14:textId="77777777" w:rsidR="00DC2F98" w:rsidRPr="00C14CDB" w:rsidRDefault="00632FB3" w:rsidP="005174E2">
      <w:pPr>
        <w:spacing w:after="0" w:line="360" w:lineRule="auto"/>
        <w:jc w:val="both"/>
        <w:rPr>
          <w:rFonts w:ascii="Arial" w:hAnsi="Arial" w:cs="Arial"/>
          <w:sz w:val="24"/>
          <w:szCs w:val="24"/>
          <w:lang w:val="id-ID"/>
        </w:rPr>
      </w:pPr>
      <w:r w:rsidRPr="00C14CDB">
        <w:rPr>
          <w:rFonts w:ascii="Arial" w:hAnsi="Arial" w:cs="Arial"/>
          <w:b/>
          <w:sz w:val="24"/>
          <w:szCs w:val="24"/>
          <w:lang w:val="id-ID"/>
        </w:rPr>
        <w:t xml:space="preserve">Pembahasan </w:t>
      </w:r>
      <w:r w:rsidR="00DC2F98" w:rsidRPr="00C14CDB">
        <w:rPr>
          <w:rFonts w:ascii="Arial" w:hAnsi="Arial" w:cs="Arial"/>
          <w:b/>
          <w:sz w:val="24"/>
          <w:szCs w:val="24"/>
          <w:lang w:val="id-ID"/>
        </w:rPr>
        <w:t xml:space="preserve"> </w:t>
      </w:r>
    </w:p>
    <w:p w14:paraId="462AE884" w14:textId="69F9250B" w:rsidR="00DC2F98" w:rsidRPr="00C14CDB" w:rsidRDefault="00DC2F98" w:rsidP="005174E2">
      <w:pPr>
        <w:spacing w:line="360" w:lineRule="auto"/>
        <w:jc w:val="both"/>
        <w:rPr>
          <w:rFonts w:ascii="Arial" w:hAnsi="Arial" w:cs="Arial"/>
          <w:sz w:val="24"/>
          <w:szCs w:val="24"/>
        </w:rPr>
      </w:pPr>
      <w:r w:rsidRPr="00C14CDB">
        <w:rPr>
          <w:rFonts w:ascii="Arial" w:hAnsi="Arial" w:cs="Arial"/>
          <w:b/>
          <w:sz w:val="24"/>
          <w:szCs w:val="24"/>
        </w:rPr>
        <w:tab/>
      </w:r>
      <w:r w:rsidRPr="00C14CDB">
        <w:rPr>
          <w:rFonts w:ascii="Arial" w:hAnsi="Arial" w:cs="Arial"/>
          <w:sz w:val="24"/>
          <w:szCs w:val="24"/>
        </w:rPr>
        <w:t xml:space="preserve">Berdasarkan pemeriksaan klinis dan laboratorium, pasien didiagnosis dengan perdarahan </w:t>
      </w:r>
      <w:r w:rsidR="00AB39F3" w:rsidRPr="00C14CDB">
        <w:rPr>
          <w:rFonts w:ascii="Arial" w:hAnsi="Arial" w:cs="Arial"/>
          <w:sz w:val="24"/>
          <w:szCs w:val="24"/>
        </w:rPr>
        <w:t>gusi</w:t>
      </w:r>
      <w:r w:rsidRPr="00C14CDB">
        <w:rPr>
          <w:rFonts w:ascii="Arial" w:hAnsi="Arial" w:cs="Arial"/>
          <w:sz w:val="24"/>
          <w:szCs w:val="24"/>
        </w:rPr>
        <w:t xml:space="preserve"> </w:t>
      </w:r>
      <w:r w:rsidRPr="00C14CDB">
        <w:rPr>
          <w:rFonts w:ascii="Arial" w:hAnsi="Arial" w:cs="Arial"/>
          <w:i/>
          <w:sz w:val="24"/>
          <w:szCs w:val="24"/>
        </w:rPr>
        <w:t>et causa</w:t>
      </w:r>
      <w:r w:rsidRPr="00C14CDB">
        <w:rPr>
          <w:rFonts w:ascii="Arial" w:hAnsi="Arial" w:cs="Arial"/>
          <w:sz w:val="24"/>
          <w:szCs w:val="24"/>
        </w:rPr>
        <w:t xml:space="preserve"> </w:t>
      </w:r>
      <w:r w:rsidR="0090709A" w:rsidRPr="00C14CDB">
        <w:rPr>
          <w:rFonts w:ascii="Arial" w:hAnsi="Arial" w:cs="Arial"/>
          <w:sz w:val="24"/>
          <w:szCs w:val="24"/>
        </w:rPr>
        <w:t>Pansitopenia</w:t>
      </w:r>
      <w:r w:rsidRPr="00C14CDB">
        <w:rPr>
          <w:rFonts w:ascii="Arial" w:hAnsi="Arial" w:cs="Arial"/>
          <w:sz w:val="24"/>
          <w:szCs w:val="24"/>
        </w:rPr>
        <w:t xml:space="preserve"> perifer. Dari bagian IPD menyarankan untuk dilakukan pemerikasaan </w:t>
      </w:r>
      <w:r w:rsidRPr="00C14CDB">
        <w:rPr>
          <w:rFonts w:ascii="Arial" w:hAnsi="Arial" w:cs="Arial"/>
          <w:i/>
          <w:sz w:val="24"/>
          <w:szCs w:val="24"/>
        </w:rPr>
        <w:t>bone marrow</w:t>
      </w:r>
      <w:r w:rsidRPr="00C14CDB">
        <w:rPr>
          <w:rFonts w:ascii="Arial" w:hAnsi="Arial" w:cs="Arial"/>
          <w:sz w:val="24"/>
          <w:szCs w:val="24"/>
        </w:rPr>
        <w:t xml:space="preserve"> untuk memastikan diagnosis anemia aplastik pada pasien ini. Pada </w:t>
      </w:r>
      <w:r w:rsidR="0090709A" w:rsidRPr="00C14CDB">
        <w:rPr>
          <w:rFonts w:ascii="Arial" w:hAnsi="Arial" w:cs="Arial"/>
          <w:sz w:val="24"/>
          <w:szCs w:val="24"/>
        </w:rPr>
        <w:t>Pansitopenia</w:t>
      </w:r>
      <w:r w:rsidRPr="00C14CDB">
        <w:rPr>
          <w:rFonts w:ascii="Arial" w:hAnsi="Arial" w:cs="Arial"/>
          <w:sz w:val="24"/>
          <w:szCs w:val="24"/>
        </w:rPr>
        <w:t xml:space="preserve"> terjadi penurunan kadar dari ketiga unsur penting komponen darah diantaranya hemoglobin, leukosit dan trombosit. Penurunan ketiga unsur darah ini menimbulkan anemia, leukopenia, dan trombositopenia. Pemeriksaan </w:t>
      </w:r>
      <w:r w:rsidRPr="00C14CDB">
        <w:rPr>
          <w:rFonts w:ascii="Arial" w:hAnsi="Arial" w:cs="Arial"/>
          <w:i/>
          <w:sz w:val="24"/>
          <w:szCs w:val="24"/>
        </w:rPr>
        <w:t>bone marrow</w:t>
      </w:r>
      <w:r w:rsidRPr="00C14CDB">
        <w:rPr>
          <w:rFonts w:ascii="Arial" w:hAnsi="Arial" w:cs="Arial"/>
          <w:sz w:val="24"/>
          <w:szCs w:val="24"/>
        </w:rPr>
        <w:t xml:space="preserve"> merupakan prosedur diagnostik yang sangat penting untuk mengkonfirmasi penyebab </w:t>
      </w:r>
      <w:r w:rsidR="0090709A" w:rsidRPr="00C14CDB">
        <w:rPr>
          <w:rFonts w:ascii="Arial" w:hAnsi="Arial" w:cs="Arial"/>
          <w:sz w:val="24"/>
          <w:szCs w:val="24"/>
        </w:rPr>
        <w:t>Pansitopenia</w:t>
      </w:r>
      <w:r w:rsidRPr="00C14CDB">
        <w:rPr>
          <w:rFonts w:ascii="Arial" w:hAnsi="Arial" w:cs="Arial"/>
          <w:sz w:val="24"/>
          <w:szCs w:val="24"/>
        </w:rPr>
        <w:t xml:space="preserve">. </w:t>
      </w:r>
      <w:r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{"citationItems":[{"id":"ITEM-1","itemData":{"DOI":"10.4103/mjdrdypu.mjdrdypu_52_18","ISSN":"2589-8302","abstract":"Background: Pancytopenia is defined as the simultaneous presence of anemia, leukopenia, and thrombocytopenia. The present study was undertaken to explore various causes and clinical manifestations of pancytopenia and to correlate them with severity of pancytopenia in adult patients of Malwa region of central India. Materials and Methods: The study was conducted in Department of Pathology of our Institute with the help of clinical departments such as medicine, surgery, oncology, and others. Two hundred and fifty-one admitted adult male and female patients from October 2015 to March 2017 (18 months) presenting with pancytopenia were included in the study. Tests for complete blood count, peripheral smear, reticulocyte count, bleeding time, clotting time, bone marrow aspiration, and trephine biopsy were done. Results: Among all the hematological disorders (202/251) causing pancytopenia, the most common was megaloblastic anemia (98/202, 48.51%) followed by dimorphic anemia (36/202, 17.8%) and aplastic anemia (18/202, 8.9%). Least common causes included hemolytic anemia (2/202) and disseminated intravascular coagulation (2/202), that is, 0.99% each. Conclusion: Thus, a comprehensive, clinical, and hematological study of patients with pancytopenia will usually help in identifying the underlying cause. The early detection of the underlying conditions would also help to enhance the prognosis of patients with pancytopenia.","author":[{"dropping-particle":"","family":"Varma","given":"Amit","non-dropping-particle":"","parse-names":false,"suffix":""},{"dropping-particle":"","family":"Lokwani","given":"Prince","non-dropping-particle":"","parse-names":false,"suffix":""},{"dropping-particle":"","family":"Malukani","given":"Kamal","non-dropping-particle":"","parse-names":false,"suffix":""},{"dropping-particle":"","family":"Gupta","given":"Sudarshan","non-dropping-particle":"","parse-names":false,"suffix":""},{"dropping-particle":"","family":"Maheshwari","given":"Parul","non-dropping-particle":"","parse-names":false,"suffix":""}],"container-title":"Medical Journal of Dr. D.Y. Patil Vidyapeeth","id":"ITEM-1","issue":"6","issued":{"date-parts":[["2018"]]},"page":"512","title":"Study of hematological profile of adults presenting with pancytopenia in a tertiary care hospital of central India","type":"article-journal","volume":"11"},"uris":["http://www.mendeley.com/documents/?uuid=23e2b420-9490-4246-8a4c-a466a9c6dc73","http://www.mendeley.com/documents/?uuid=fffaa2e4-eead-498f-a2da-01a4ce5ebe3e"]},{"id":"ITEM-2","itemData":{"ISSN":"2394-0034","abstract":"Introduction: Pancytopenia is condition in which there is reduction of all the 3 peripheral blood lineage and must be suspected on clinical grounds when a patient presents with unexplained pallor. Careful examination of a blood film is important if reason for the pancytopenia is not apparent from the clinical history. If this does not reveal the cause, bone marrow aspiration and trephine may be needed. Aim: To study the profile of pancytopenia in hospitalized children. Materials and methods: This retrospective study was carried out in Dhiraj General Hospital from January 2014 to December 2014. All the Pediatric patients were included for the study. Complete blood count, peripheral smear (PS), bone marrow aspiration and bone marrow trephine biopsy were performed. Results: Among 200 studied Pediatric cases, maximum number of patients (39%) was in the age group of 6 month to 5 years. In the present study, megaloblastic anemia (26.5%) was the most common cause of pancytopenia followed by Aplastic anemia (20.0%) while leukemia was found in 17.5% of cases. The most common symptom was pallor in 163 (81.5%) cases and fever in 130 (65%). Conclusion: The megaloblastic anemia is most common cause of pancytopenia in our study followed by aplastic anemia and acute leukemia.","author":[{"dropping-particle":"","family":"Rathod","given":"Gunvanti B","non-dropping-particle":"","parse-names":false,"suffix":""},{"dropping-particle":"","family":"Alwani","given":"Mobeen","non-dropping-particle":"","parse-names":false,"suffix":""},{"dropping-particle":"","family":"Patel","given":"Hardi","non-dropping-particle":"","parse-names":false,"suffix":""},{"dropping-particle":"","family":"Jain","given":"Annie","non-dropping-particle":"","parse-names":false,"suffix":""}],"container-title":"International Archives of Integrated Medicine","id":"ITEM-2","issue":"11","issued":{"date-parts":[["2015"]]},"page":"15-19","title":"Clinico-hematological analysis of Pancytopenia in Pediatric patients of tertiary care hospital","type":"article-journal","volume":"2"},"uris":["http://www.mendeley.com/documents/?uuid=a46488df-1d0d-4e39-aa91-bfd1893622f3","http://www.mendeley.com/documents/?uuid=d4ab457e-7873-49bc-9779-160ce82f352e"]},{"id":"ITEM-3","itemData":{"DOI":"10.3329/fmcj.v13i2.43622","ISSN":"2079-3553","abstract":"Pancytopenia is a morphological description of the peripheral blood picture irrespective of its cause &amp; it denotes simultaneous presence of anaemia, leucopenia and thrombocytopenia. The study was done to observe the demographic profile &amp; the clinical presentations of pancytopenic patients and to find out the aetiology of pancytopenia. This cross sectional study was carried out in Medicine ward of Rajshahi Medical College Hospital from August 2005 to July 2006. A uniform protocol was followed in all cases, to have appropriate history, physical findings &amp; laboratory investigations. The commonest cause of pancytopenia was aplastic anaemia (48%) which was followed by hypersplenism (22%) &amp; acute leukemia (16%). The majority cases of aplastic anaemia were idiopathic (57.69%), only 42.31% cases were due to secondary causes. The majority (94%) of patients was in the age range of 14-60 years and up to 54% was in the age group of 20-40 years. The ratio of male to female in patients of pancytopenia was 1.5:1 and 3:1 in aplastic anaemia. In secondary causes of aplastic anaemia, insecticides and viral hepatitis was found to be causative agent in 45.45% cases of each followed by pregnancy in 9.10% of cases. The common presenting complains of aplastic anaemia were generalized weakness (100%), gum bleeding (76.92%), fever (76.92%) and pallor (96.15%).\r Faridpur Med. Coll. J. Jul 2018;13(2): 62-65","author":[{"dropping-particle":"","family":"Rahman","given":"ATM Ataur","non-dropping-particle":"","parse-names":false,"suffix":""},{"dropping-particle":"","family":"Ekram","given":"ARM Saifuddin","non-dropping-particle":"","parse-names":false,"suffix":""},{"dropping-particle":"","family":"Hossain","given":"Mohammed Shahadat","non-dropping-particle":"","parse-names":false,"suffix":""},{"dropping-particle":"","family":"Saha","given":"Jayanta Kumar","non-dropping-particle":"","parse-names":false,"suffix":""},{"dropping-particle":"","family":"Rahman","given":"Fahreen","non-dropping-particle":"","parse-names":false,"suffix":""},{"dropping-particle":"","family":"Kamruzzaman","given":"Muhammad","non-dropping-particle":"","parse-names":false,"suffix":""},{"dropping-particle":"","family":"Hossain","given":"Ahmed Manadir","non-dropping-particle":"","parse-names":false,"suffix":""},{"dropping-particle":"","family":"Islam","given":"MM Shahin Ul","non-dropping-particle":"","parse-names":false,"suffix":""}],"container-title":"Faridpur Medical College Journal","id":"ITEM-3","issue":"2","issued":{"date-parts":[["2019"]]},"page":"62-65","title":"Aetiology and Clinical Presentation of Pancytopenia in a Teaching Hospital","type":"article-journal","volume":"13"},"uris":["http://www.mendeley.com/documents/?uuid=e2189f67-2101-4ee0-a507-54b54200fdcd","http://www.mendeley.com/documents/?uuid=2e933646-ba16-49d1-9fef-9e9c9e702b17","http://www.mendeley.com/documents/?uuid=34a554bc-9e95-4bdd-85cb-a2c420e0d5b4"]},{"id":"ITEM-4","itemData":{"DOI":"10.3126/jpn.v2i4.6875","ISSN":"2091-0797","abstract":"Background: Pancytopenia is a common hematological finding resulting from varieties of disease processes that require evaluation of bone marrow. This study was carried out to evaluate bone marrow findings in patients presenting with pancytopenia.Materials and Method: This was a prospective cross sectional study carried out to identify the causes of pancytopenia based on bone marrow examination. Bone marrow examinations were performed in 503 cases for different indications over a period of one year.Results: One hundred and two (20.27%) cases fulfilled the criteria of pancytopenia. Trephine biopsy was possible only in 48 cases. In 75% cases aspiration findings were similar to biopsy. Mean age of patients was 38.8 years. Maximum number of cases was seen in age group of 15-30 years. Hypoplastic anemia was the commonest cause followed by hematological malignancies, megaloblastic anemia, leishmaniasis and Gaucher disease. Bone marrow examination alone was able to establish the diagnosis in 76.5% cases. In rest marrow findings were nonspecific and in 4.9% cases findings were normal.Conclusion: Bone marrow aspiration coupled with trephine biopsy can diagnose majority but not all the cases of pancytopenia. Hypoplastic anemia, hematological malignancies and megaloblastic anemia are the commonest causes of pancytopenia. Maximum diagnostic yield can be achieved by correlation with clinical findings, peripheral blood findings and with other laboratory and radiological parameters.Journal of Pathology of Nepal (2012) Vol. 2, 265-271DOI: http://dx.doi.org/10.3126/jpn.v2i4.6875","author":[{"dropping-particle":"","family":"Pathak","given":"R","non-dropping-particle":"","parse-names":false,"suffix":""},{"dropping-particle":"","family":"Jha","given":"A","non-dropping-particle":"","parse-names":false,"suffix":""},{"dropping-particle":"","family":"Sayami","given":"G","non-dropping-particle":"","parse-names":false,"suffix":""}],"container-title":"Journal of Pathology of Nepal","id":"ITEM-4","issue":"4","issued":{"date-parts":[["2012"]]},"page":"265-271","title":"Evaluation of bone marrow in patients with pancytopenia","type":"article-journal","volume":"2"},"uris":["http://www.mendeley.com/documents/?uuid=46f55148-04c3-446e-8982-216e242f11e5","http://www.mendeley.com/documents/?uuid=d8a59e3d-ccaa-4557-83af-3ee0f7965ba2","http://www.mendeley.com/documents/?uuid=5607fa9c-7072-4647-865a-cdbdbfadfc36"]}],"mendeley":{"formattedCitation":"&lt;sup&gt;2,5,6,11&lt;/sup&gt;","plainTextFormattedCitation":"2,5,6,11","previouslyFormattedCitation":"&lt;sup&gt;2,5,6,11&lt;/sup&gt;"},"properties":{"noteIndex":0},"schema":"https://github.com/citation-style-language/schema/raw/master/csl-citation.json"}</w:instrText>
      </w:r>
      <w:r w:rsidRPr="00C14CDB">
        <w:rPr>
          <w:rFonts w:ascii="Arial" w:hAnsi="Arial" w:cs="Arial"/>
          <w:sz w:val="24"/>
          <w:szCs w:val="24"/>
        </w:rPr>
        <w:fldChar w:fldCharType="separate"/>
      </w:r>
      <w:r w:rsidR="00083F26" w:rsidRPr="00C14CDB">
        <w:rPr>
          <w:rFonts w:ascii="Arial" w:hAnsi="Arial" w:cs="Arial"/>
          <w:noProof/>
          <w:sz w:val="24"/>
          <w:szCs w:val="24"/>
          <w:vertAlign w:val="superscript"/>
        </w:rPr>
        <w:t>2,5,6,11</w:t>
      </w:r>
      <w:r w:rsidRPr="00C14CDB">
        <w:rPr>
          <w:rFonts w:ascii="Arial" w:hAnsi="Arial" w:cs="Arial"/>
          <w:sz w:val="24"/>
          <w:szCs w:val="24"/>
        </w:rPr>
        <w:fldChar w:fldCharType="end"/>
      </w:r>
      <w:r w:rsidRPr="00C14CDB">
        <w:rPr>
          <w:rFonts w:ascii="Arial" w:hAnsi="Arial" w:cs="Arial"/>
          <w:sz w:val="24"/>
          <w:szCs w:val="24"/>
        </w:rPr>
        <w:t xml:space="preserve"> Seperti yang terlihat pada hasil pemeriksaan hematologi, menunjukkan terjadinya penurunan kadar hemoglobin, leukosit, serta trombosit meskipun pasien sudah menerima transfusi darah untuk mengembalikan kadar komponen darah tersebut.</w:t>
      </w:r>
    </w:p>
    <w:p w14:paraId="7726EAD7" w14:textId="16200362" w:rsidR="00DC2F98" w:rsidRPr="00C14CDB" w:rsidRDefault="00DC2F98" w:rsidP="005174E2">
      <w:pPr>
        <w:spacing w:line="360" w:lineRule="auto"/>
        <w:jc w:val="both"/>
        <w:rPr>
          <w:rFonts w:ascii="Arial" w:hAnsi="Arial" w:cs="Arial"/>
          <w:sz w:val="24"/>
          <w:szCs w:val="24"/>
        </w:rPr>
      </w:pPr>
      <w:r w:rsidRPr="00C14CDB">
        <w:rPr>
          <w:rFonts w:ascii="Arial" w:hAnsi="Arial" w:cs="Arial"/>
          <w:sz w:val="24"/>
          <w:szCs w:val="24"/>
        </w:rPr>
        <w:tab/>
        <w:t xml:space="preserve"> </w:t>
      </w:r>
      <w:r w:rsidR="003E5CBE" w:rsidRPr="00C14CDB">
        <w:rPr>
          <w:rFonts w:ascii="Arial" w:hAnsi="Arial" w:cs="Arial"/>
          <w:sz w:val="24"/>
          <w:szCs w:val="24"/>
        </w:rPr>
        <w:t xml:space="preserve">Salah satu manifestasi klinis Pansitopenia di dalam rongga mulut adalah terjadinya perdarahan gusi yang dapat terjadi pada keseluruhan atau beberapa regio pada rongga mulut. Perdarahan gusi adalah gejala utama penyakit gusi. Tampilan klinis lainnya adalah kemerahan, radang gusi, nyeri dan kesulitan mengunyah. Perdarahan gusi terjadi karena proses peradangan dan mengakibatkan ulserasi pada epitel dengan ukuran sangat kecil. Perdarahan gusi spontan pada rongga mulut akibat penurunan jumlah trombosit, penyakit periodontal yang parah, terlihat pucat, dan ulserasi rongga mulut. </w:t>
      </w:r>
      <w:r w:rsidRPr="00C14CDB">
        <w:rPr>
          <w:rFonts w:ascii="Arial" w:hAnsi="Arial" w:cs="Arial"/>
          <w:sz w:val="24"/>
          <w:szCs w:val="24"/>
        </w:rPr>
        <w:t xml:space="preserve">Penyebab lain dari perdarahan </w:t>
      </w:r>
      <w:r w:rsidR="00AB39F3" w:rsidRPr="00C14CDB">
        <w:rPr>
          <w:rFonts w:ascii="Arial" w:hAnsi="Arial" w:cs="Arial"/>
          <w:sz w:val="24"/>
          <w:szCs w:val="24"/>
        </w:rPr>
        <w:t>gusi</w:t>
      </w:r>
      <w:r w:rsidRPr="00C14CDB">
        <w:rPr>
          <w:rFonts w:ascii="Arial" w:hAnsi="Arial" w:cs="Arial"/>
          <w:sz w:val="24"/>
          <w:szCs w:val="24"/>
        </w:rPr>
        <w:t xml:space="preserve"> termasuk penyebab lokal yang meliputi defisiensi vitamin, keganasan, seperti leukemia, efek samping dari penggunaa obat-obat tertentu serta adanya kelainan sistemik. Gangguan </w:t>
      </w:r>
      <w:r w:rsidR="00916631" w:rsidRPr="00C14CDB">
        <w:rPr>
          <w:rFonts w:ascii="Arial" w:hAnsi="Arial" w:cs="Arial"/>
          <w:sz w:val="24"/>
          <w:szCs w:val="24"/>
        </w:rPr>
        <w:t>kelainan darah</w:t>
      </w:r>
      <w:r w:rsidRPr="00C14CDB">
        <w:rPr>
          <w:rFonts w:ascii="Arial" w:hAnsi="Arial" w:cs="Arial"/>
          <w:sz w:val="24"/>
          <w:szCs w:val="24"/>
        </w:rPr>
        <w:t xml:space="preserve"> di mana pe</w:t>
      </w:r>
      <w:r w:rsidR="005A6527" w:rsidRPr="00C14CDB">
        <w:rPr>
          <w:rFonts w:ascii="Arial" w:hAnsi="Arial" w:cs="Arial"/>
          <w:sz w:val="24"/>
          <w:szCs w:val="24"/>
        </w:rPr>
        <w:t>n</w:t>
      </w:r>
      <w:r w:rsidRPr="00C14CDB">
        <w:rPr>
          <w:rFonts w:ascii="Arial" w:hAnsi="Arial" w:cs="Arial"/>
          <w:sz w:val="24"/>
          <w:szCs w:val="24"/>
        </w:rPr>
        <w:t xml:space="preserve">darahan </w:t>
      </w:r>
      <w:r w:rsidR="00AB39F3" w:rsidRPr="00C14CDB">
        <w:rPr>
          <w:rFonts w:ascii="Arial" w:hAnsi="Arial" w:cs="Arial"/>
          <w:sz w:val="24"/>
          <w:szCs w:val="24"/>
        </w:rPr>
        <w:t>gusi</w:t>
      </w:r>
      <w:r w:rsidRPr="00C14CDB">
        <w:rPr>
          <w:rFonts w:ascii="Arial" w:hAnsi="Arial" w:cs="Arial"/>
          <w:sz w:val="24"/>
          <w:szCs w:val="24"/>
        </w:rPr>
        <w:t xml:space="preserve"> abnormal ditemukan termasuk kelainan vaskular (defisiensi vitamin C atau alergi, misalnya, </w:t>
      </w:r>
      <w:r w:rsidRPr="00C14CDB">
        <w:rPr>
          <w:rFonts w:ascii="Arial" w:hAnsi="Arial" w:cs="Arial"/>
          <w:i/>
          <w:sz w:val="24"/>
          <w:szCs w:val="24"/>
        </w:rPr>
        <w:t>Henoch-Schönlein</w:t>
      </w:r>
      <w:r w:rsidRPr="00C14CDB">
        <w:rPr>
          <w:rFonts w:ascii="Arial" w:hAnsi="Arial" w:cs="Arial"/>
          <w:sz w:val="24"/>
          <w:szCs w:val="24"/>
        </w:rPr>
        <w:t xml:space="preserve"> purpura), gangguan trombosit (misalnya, </w:t>
      </w:r>
      <w:r w:rsidRPr="00C14CDB">
        <w:rPr>
          <w:rFonts w:ascii="Arial" w:hAnsi="Arial" w:cs="Arial"/>
          <w:sz w:val="24"/>
          <w:szCs w:val="24"/>
        </w:rPr>
        <w:lastRenderedPageBreak/>
        <w:t xml:space="preserve">Purpura trombositopenik), hipoprotrombinemia (defisiensi vitamin K), defek koagulasi lainnya (misalnya, Hemofilia), defisiensi faktor tromboplastik </w:t>
      </w:r>
      <w:r w:rsidR="003E5CBE" w:rsidRPr="00C14CDB">
        <w:rPr>
          <w:rFonts w:ascii="Arial" w:hAnsi="Arial" w:cs="Arial"/>
          <w:sz w:val="24"/>
          <w:szCs w:val="24"/>
        </w:rPr>
        <w:t>trombosit</w:t>
      </w:r>
      <w:r w:rsidRPr="00C14CDB">
        <w:rPr>
          <w:rFonts w:ascii="Arial" w:hAnsi="Arial" w:cs="Arial"/>
          <w:sz w:val="24"/>
          <w:szCs w:val="24"/>
        </w:rPr>
        <w:t xml:space="preserve"> (PF3) akibat uremia, multiple myeloma, leukemia, dan postrubella purpura. Gangguan autoimun tertentu, seperti rheumatoid arthritis, lupus eritematosus sistemik, dan </w:t>
      </w:r>
      <w:r w:rsidRPr="00C14CDB">
        <w:rPr>
          <w:rFonts w:ascii="Arial" w:hAnsi="Arial" w:cs="Arial"/>
          <w:i/>
          <w:sz w:val="24"/>
          <w:szCs w:val="24"/>
        </w:rPr>
        <w:t>Hashimoto</w:t>
      </w:r>
      <w:r w:rsidRPr="00C14CDB">
        <w:rPr>
          <w:rFonts w:ascii="Arial" w:hAnsi="Arial" w:cs="Arial"/>
          <w:sz w:val="24"/>
          <w:szCs w:val="24"/>
        </w:rPr>
        <w:t xml:space="preserve"> tiroiditis dapat menyebabkan perdarahan </w:t>
      </w:r>
      <w:r w:rsidR="00AB39F3" w:rsidRPr="00C14CDB">
        <w:rPr>
          <w:rFonts w:ascii="Arial" w:hAnsi="Arial" w:cs="Arial"/>
          <w:sz w:val="24"/>
          <w:szCs w:val="24"/>
        </w:rPr>
        <w:t>gusi</w:t>
      </w:r>
      <w:r w:rsidRPr="00C14CDB">
        <w:rPr>
          <w:rFonts w:ascii="Arial" w:hAnsi="Arial" w:cs="Arial"/>
          <w:sz w:val="24"/>
          <w:szCs w:val="24"/>
        </w:rPr>
        <w:t>.</w:t>
      </w:r>
      <w:r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{"citationItems":[{"id":"ITEM-1","itemData":{"DOI":"10.1016/j.sjdr.2015.04.004","ISBN":"8802536376","ISSN":"23520043","abstract":"The article describes a case of aplastic anemia in a 44-year-old male patient which presented as spontaneous bleeding of gums. Though bleeding of gums is a very common complaint encountered in a dental clinic, bleeding of gums due to systemic causes is an infrequent finding. Patient from blood dyscrasias may present in a dental office with bleeding of gums as sole or the first complaint. The acknowledgment of the patients underlying condition is the responsibility of the dentist for pertinent referral and further management.","author":[{"dropping-particle":"","family":"Rai","given":"Arpita","non-dropping-particle":"","parse-names":false,"suffix":""},{"dropping-particle":"","family":"Vaishali","given":"Vanita","non-dropping-particle":"","parse-names":false,"suffix":""},{"dropping-particle":"","family":"Naikmasur","given":"Venkatesh G.","non-dropping-particle":"","parse-names":false,"suffix":""},{"dropping-particle":"","family":"Kumar","given":"Ansul","non-dropping-particle":"","parse-names":false,"suffix":""},{"dropping-particle":"","family":"Sattur","given":"Atul","non-dropping-particle":"","parse-names":false,"suffix":""}],"container-title":"Saudi Journal for Dental Research","id":"ITEM-1","issue":"1","issued":{"date-parts":[["2016"]]},"page":"69-72","publisher":"The Saudi Journal for Dental Research","title":"Aplastic anemia presenting as bleeding of gingiva: Case report and dental considerations","type":"article-journal","volume":"7"},"uris":["http://www.mendeley.com/documents/?uuid=6a39f40a-1535-4c02-b311-0160e525c9d8"]},{"id":"ITEM-2","itemData":{"ISSN":"25158260","abstract":"Gingival bleeding is a common, mild form of gum disease. It is a primary sign of gingival disease such as gingival inflammation or Gingivitis is caused by accumulation of plaque at the gum line. Gingiva becomes swollen, reddish and irritable to the patient due to plaque accumulation. Plaque which is not removed will harden into tartar. This will lead to severe advanced gum disease and its progresses to periodontitis and finally tooth loss. Bleeding gums or Gingival Bleeding can cause discomfort to the patient both physically and mentally. Every dentist must know the underlying causes of gingival bleeding based on both local and systemic factors. This article aims to discuss the systemic causes of GINGIVAL BLEEDING.","author":[{"dropping-particle":"","family":"Rajes","given":"E.","non-dropping-particle":"","parse-names":false,"suffix":""},{"dropping-particle":"","family":"Mangai","given":"T. Alamelu","non-dropping-particle":"","parse-names":false,"suffix":""},{"dropping-particle":"","family":"Babu","given":"N. Aravindha","non-dropping-particle":"","parse-names":false,"suffix":""},{"dropping-particle":"","family":"Malathi","given":"L.","non-dropping-particle":"","parse-names":false,"suffix":""}],"container-title":"European Journal of Molecular and Clinical Medicine","id":"ITEM-2","issue":"5","issued":{"date-parts":[["2020"]]},"page":"1472-1476","title":"Gingival bleeding - Systemic causes","type":"article-journal","volume":"7"},"uris":["http://www.mendeley.com/documents/?uuid=9cc97f11-4ad9-415f-9a0e-ba2f2f0bb2c5","http://www.mendeley.com/documents/?uuid=993d48ea-d175-412f-8b44-ec775ade696a"]},{"id":"ITEM-3","itemData":{"DOI":"10.1111/jcpe.12770","ISSN":"1600051X","PMID":"28667742","abstract":"Introduction: Antithrombotic drugs are known to increase the risk of gingival bleeding because they affect coagulation. However, other drugs could also be involved in gingival bleeding. Aim: We performed a pharmacoepidemiological study to identify the drugs most frequently “suspected” in the occurrence of gingival bleeding. Material and methods: We selected reports of “gingival bleeding” from 1 January 1985 to 30 September 2014 in the French PharmacoVigilance Database. Results: Among 523,808 reports of adverse drug reactions, we identified 454 reports of gingival bleeding (0.09%). Most of them were “serious” (58.4%) and occurred in females (54.6%). The frequency of gingival bleeding increased with age. The most frequently “suspected” drugs were antithrombotics (67.8%), particularly fluindione. Other drugs frequently involved were furosemide followed by paracetamol, amiodarone, amoxicillin, paroxetine, ketoprofen, zolpidem, enalapril and ramipril. Thirty-nine reports involved a drug–drug interaction with antithrombotics, mainly with anti-infectives. Conclusion: Gingival bleeding can be an adverse drug reaction, often “serious” and rarely fatal. Patients older than 50 years and women are particularly at risk. Among drugs known to increase the risk of gingival bleeding, the most frequently involved were fluindione, furosemide, paracetamol, amiodarone, amoxicillin, paroxetine or ketoprofen. We also identified signal for drugs not usually known to be involved in bleeding, like zolpidem, enalapril or ramipril.","author":[{"dropping-particle":"","family":"Bondon-Guitton","given":"Emmanuelle","non-dropping-particle":"","parse-names":false,"suffix":""},{"dropping-particle":"","family":"Mourgues","given":"Thibaut","non-dropping-particle":"","parse-names":false,"suffix":""},{"dropping-particle":"","family":"Rousseau","given":"Vanessa","non-dropping-particle":"","parse-names":false,"suffix":""},{"dropping-particle":"","family":"Cousty","given":"Sarah","non-dropping-particle":"","parse-names":false,"suffix":""},{"dropping-particle":"","family":"Cottin","given":"Judith","non-dropping-particle":"","parse-names":false,"suffix":""},{"dropping-particle":"","family":"Drablier","given":"Guillaume","non-dropping-particle":"","parse-names":false,"suffix":""},{"dropping-particle":"","family":"Micallef","given":"Joëlle","non-dropping-particle":"","parse-names":false,"suffix":""},{"dropping-particle":"","family":"Montastruc","given":"Jean Louis","non-dropping-particle":"","parse-names":false,"suffix":""}],"container-title":"Journal of Clinical Periodontology","id":"ITEM-3","issue":"9","issued":{"date-parts":[["2017"]]},"page":"898-904","title":"Gingival bleeding, a possible “serious” adverse drug reaction: An observational study in the French PharmacoVigilance Database","type":"article-journal","volume":"44"},"uris":["http://www.mendeley.com/documents/?uuid=f623a87a-9681-4eb4-b6fd-884ae22474b0","http://www.mendeley.com/documents/?uuid=4f4ded8c-860c-4cd8-858b-1e844f85e521","http://www.mendeley.com/documents/?uuid=3ee1bdbd-e185-45fb-8c2b-f01aea1b4876"]},{"id":"ITEM-4","itemData":{"DOI":"10.1182/asheducation-2013.1.76.6.","ISSN":"10294864","PMID":"24741845","author":[{"dropping-particle":"","family":"Padayachee","given":"S.","non-dropping-particle":"","parse-names":false,"suffix":""},{"dropping-particle":"","family":"Holmes","given":"H.","non-dropping-particle":"","parse-names":false,"suffix":""},{"dropping-particle":"","family":"Dreyer","given":"W. P.","non-dropping-particle":"","parse-names":false,"suffix":""}],"container-title":"SADJ : journal of the South African Dental Association = tydskrif van die Suid-Afrikaanse Tandheelkundige Vereniging","id":"ITEM-4","issue":"1","issued":{"date-parts":[["2014"]]},"page":"26-27","title":"Oral medicine case book 56: Oral manifestations of aplastic anaemia.","type":"article-journal","volume":"69"},"uris":["http://www.mendeley.com/documents/?uuid=299f7b29-0b2b-480b-80b0-8e52a5e8284a","http://www.mendeley.com/documents/?uuid=a699a367-e6f6-4844-8a04-6d6a31c077be","http://www.mendeley.com/documents/?uuid=5e8aaf5d-d726-45b7-8ab7-dc48135bd75f"]},{"id":"ITEM-5","itemData":{"DOI":"10.1016/j.oooo.2011.10.016","ISSN":"22124403","PMID":"22668636","abstract":"Introduction. Acute gingival bleeding can occasionally be the only sign of systemic bleeding problems. The diagnosis and management of such conditions may challenge the skills of the dentist. Case report. The present report describes a case of severe, prolonged gingival bleeding in a 54-year-old woman as a consequence of Plasmodium falciparum malaria infection. Specific highlights are focused on the management of the patient with emphasis on early diagnosis of the disease so as to improve the prognosis. This case report also stresses that medical intervention to correct the underlying aberration of hemostasis is necessary for local dental measures to successfully stop bleeding. Conclusions. Acute gingival bleeding as a complication of systemic disease can be challenging to manage unless the underlying systemic cause is diagnosed. Therefore, the dentist must be aware of various systemic conditions that can lead to gingival bleeding. The present case report describes a patient with acute gingival bleeding secondary to Plasmodium falciparum infection. © 2012 Elsevier Inc. All rights reserved.","author":[{"dropping-particle":"","family":"Khan","given":"Saif","non-dropping-particle":"","parse-names":false,"suffix":""},{"dropping-particle":"","family":"Zia","given":"Afaf","non-dropping-particle":"","parse-names":false,"suffix":""},{"dropping-particle":"","family":"Gupta","given":"N. D.","non-dropping-particle":"","parse-names":false,"suffix":""},{"dropping-particle":"","family":"Bey","given":"Afshan","non-dropping-particle":"","parse-names":false,"suffix":""}],"container-title":"Oral Surgery, Oral Medicine, Oral Pathology and Oral Radiology","id":"ITEM-5","issue":"5","issued":{"date-parts":[["2012"]]},"page":"e19-e22","publisher":"Elsevier","title":"Acute gingival bleeding as a complication of falciparum malaria: A case report","type":"article-journal","volume":"113"},"uris":["http://www.mendeley.com/documents/?uuid=c3bfd5f7-0f42-4531-9d10-65b2510d283a","http://www.mendeley.com/documents/?uuid=5e9f9b93-fc7d-486e-8cf8-6e1ffbe047e2","http://www.mendeley.com/documents/?uuid=8856735f-6af5-49b8-8b9b-0e54b6c136f7"]}],"mendeley":{"formattedCitation":"&lt;sup&gt;3,7–10&lt;/sup&gt;","plainTextFormattedCitation":"3,7–10","previouslyFormattedCitation":"&lt;sup&gt;3,7–10&lt;/sup&gt;"},"properties":{"noteIndex":0},"schema":"https://github.com/citation-style-language/schema/raw/master/csl-citation.json"}</w:instrText>
      </w:r>
      <w:r w:rsidRPr="00C14CDB">
        <w:rPr>
          <w:rFonts w:ascii="Arial" w:hAnsi="Arial" w:cs="Arial"/>
          <w:sz w:val="24"/>
          <w:szCs w:val="24"/>
        </w:rPr>
        <w:fldChar w:fldCharType="separate"/>
      </w:r>
      <w:r w:rsidR="00083F26" w:rsidRPr="00C14CDB">
        <w:rPr>
          <w:rFonts w:ascii="Arial" w:hAnsi="Arial" w:cs="Arial"/>
          <w:noProof/>
          <w:sz w:val="24"/>
          <w:szCs w:val="24"/>
          <w:vertAlign w:val="superscript"/>
        </w:rPr>
        <w:t>3,7–10</w:t>
      </w:r>
      <w:r w:rsidRPr="00C14CDB">
        <w:rPr>
          <w:rFonts w:ascii="Arial" w:hAnsi="Arial" w:cs="Arial"/>
          <w:sz w:val="24"/>
          <w:szCs w:val="24"/>
        </w:rPr>
        <w:fldChar w:fldCharType="end"/>
      </w:r>
      <w:r w:rsidRPr="00C14CDB">
        <w:rPr>
          <w:rFonts w:ascii="Arial" w:hAnsi="Arial" w:cs="Arial"/>
          <w:sz w:val="24"/>
          <w:szCs w:val="24"/>
          <w:vertAlign w:val="superscript"/>
        </w:rPr>
        <w:t>,</w:t>
      </w:r>
      <w:r w:rsidRPr="00C14CDB">
        <w:rPr>
          <w:rFonts w:ascii="Arial" w:hAnsi="Arial" w:cs="Arial"/>
          <w:sz w:val="24"/>
          <w:szCs w:val="24"/>
          <w:vertAlign w:val="superscript"/>
        </w:rPr>
        <w:fldChar w:fldCharType="begin" w:fldLock="1"/>
      </w:r>
      <w:r w:rsidR="00083F26" w:rsidRPr="00C14CDB">
        <w:rPr>
          <w:rFonts w:ascii="Arial" w:hAnsi="Arial" w:cs="Arial"/>
          <w:sz w:val="24"/>
          <w:szCs w:val="24"/>
          <w:vertAlign w:val="superscript"/>
        </w:rPr>
        <w:instrText>ADDIN CSL_CITATION {"citationItems":[{"id":"ITEM-1","itemData":{"ISBN":"9788578110796","ISSN":"1098-6596","PMID":"25246403","abstract":"ABSTRACT This is a case of Idiopathic Thrombocytopenic Purpura (ITP) which led to continuous intermittent bleeding from the gingival sulcus of 11,21, 32, 34, 35, 44, 45, 36. Intraoral examination showed petechiae and ecchymosis on the lips, buccal mucosa, hard palate and on the ventral surface of the tongue. Petechiae and black patches on the upper and lower limbs led to the suspicion of altered coagulation or bleeding disorder. A 3 6 3 full blood count revealed pancytopenia (RBC 2.87X 10 /ul; WBC 2.5 x10 /ul and platelet 9x10 /ul). This emphasizes the significance of a good clinical examination, early diagnosis and referral of such patients to specialists for prompt treatment. This case report will serve as a guide to dentists that not all gingival bleeding are due to plaque accumulation that result in gingival inflammation and that some systemic diseases present with oral manifestations.","author":[{"dropping-particle":"","family":"Umoh","given":"Agnes O","non-dropping-particle":"","parse-names":false,"suffix":""},{"dropping-particle":"","family":"Osagie Akhionbare","given":"","non-dropping-particle":"","parse-names":false,"suffix":""}],"container-title":"Nigerian Journal of Dental Research","id":"ITEM-1","issue":"1&amp;2","issued":{"date-parts":[["2016"]]},"page":"50-52","title":"Idiopathic thrombocytopenic purpura presenting as gingival bleeding in a Periodontal Clinic in Benin City, Nigeria","type":"article-journal","volume":"1"},"uris":["http://www.mendeley.com/documents/?uuid=cc39db40-6185-49b3-a275-70e74077886a","http://www.mendeley.com/documents/?uuid=341516c6-fcfb-4b09-8af4-a122dacf907e"]}],"mendeley":{"formattedCitation":"&lt;sup&gt;12&lt;/sup&gt;","plainTextFormattedCitation":"12","previouslyFormattedCitation":"&lt;sup&gt;12&lt;/sup&gt;"},"properties":{"noteIndex":0},"schema":"https://github.com/citation-style-language/schema/raw/master/csl-citation.json"}</w:instrText>
      </w:r>
      <w:r w:rsidRPr="00C14CDB">
        <w:rPr>
          <w:rFonts w:ascii="Arial" w:hAnsi="Arial" w:cs="Arial"/>
          <w:sz w:val="24"/>
          <w:szCs w:val="24"/>
          <w:vertAlign w:val="superscript"/>
        </w:rPr>
        <w:fldChar w:fldCharType="separate"/>
      </w:r>
      <w:r w:rsidR="00083F26" w:rsidRPr="00C14CDB">
        <w:rPr>
          <w:rFonts w:ascii="Arial" w:hAnsi="Arial" w:cs="Arial"/>
          <w:noProof/>
          <w:sz w:val="24"/>
          <w:szCs w:val="24"/>
          <w:vertAlign w:val="superscript"/>
        </w:rPr>
        <w:t>12</w:t>
      </w:r>
      <w:r w:rsidRPr="00C14CDB">
        <w:rPr>
          <w:rFonts w:ascii="Arial" w:hAnsi="Arial" w:cs="Arial"/>
          <w:sz w:val="24"/>
          <w:szCs w:val="24"/>
          <w:vertAlign w:val="superscript"/>
        </w:rPr>
        <w:fldChar w:fldCharType="end"/>
      </w:r>
    </w:p>
    <w:p w14:paraId="2B0C209C" w14:textId="2B95EB62" w:rsidR="00DC2F98" w:rsidRPr="00C14CDB" w:rsidRDefault="00DC2F98" w:rsidP="005174E2">
      <w:pPr>
        <w:spacing w:line="360" w:lineRule="auto"/>
        <w:jc w:val="both"/>
        <w:rPr>
          <w:rFonts w:ascii="Arial" w:hAnsi="Arial" w:cs="Arial"/>
          <w:sz w:val="24"/>
          <w:szCs w:val="24"/>
          <w:lang w:val="id-ID"/>
        </w:rPr>
      </w:pPr>
      <w:r w:rsidRPr="00C14CDB">
        <w:rPr>
          <w:rFonts w:ascii="Arial" w:hAnsi="Arial" w:cs="Arial"/>
          <w:sz w:val="24"/>
          <w:szCs w:val="24"/>
        </w:rPr>
        <w:tab/>
        <w:t xml:space="preserve"> Pada kasus ini, terapi yang diberikan untuk perawatan perdarahan </w:t>
      </w:r>
      <w:r w:rsidR="00AB39F3" w:rsidRPr="00C14CDB">
        <w:rPr>
          <w:rFonts w:ascii="Arial" w:hAnsi="Arial" w:cs="Arial"/>
          <w:sz w:val="24"/>
          <w:szCs w:val="24"/>
        </w:rPr>
        <w:t>gusi</w:t>
      </w:r>
      <w:r w:rsidRPr="00C14CDB">
        <w:rPr>
          <w:rFonts w:ascii="Arial" w:hAnsi="Arial" w:cs="Arial"/>
          <w:sz w:val="24"/>
          <w:szCs w:val="24"/>
        </w:rPr>
        <w:t xml:space="preserve"> adalah larutan asam traneksamat yang terdiri dari asam traneksamat 500mg Disp. Vial 5ml yang dilarutkan ke dalam 500ml </w:t>
      </w:r>
      <w:r w:rsidRPr="00C14CDB">
        <w:rPr>
          <w:rFonts w:ascii="Arial" w:hAnsi="Arial" w:cs="Arial"/>
          <w:i/>
          <w:sz w:val="24"/>
          <w:szCs w:val="24"/>
        </w:rPr>
        <w:t>aquadest</w:t>
      </w:r>
      <w:r w:rsidRPr="00C14CDB">
        <w:rPr>
          <w:rFonts w:ascii="Arial" w:hAnsi="Arial" w:cs="Arial"/>
          <w:sz w:val="24"/>
          <w:szCs w:val="24"/>
        </w:rPr>
        <w:t>. Pasien diinstruksikan berkumur dengan larutan asam traneksamat 10 ml selama 1 menit 3 kali sehari serta kompres gusi dengan kassa yang dibasahi larutan asam traneksamat. Asam traneksamat (</w:t>
      </w:r>
      <w:r w:rsidRPr="00C14CDB">
        <w:rPr>
          <w:rFonts w:ascii="Arial" w:hAnsi="Arial" w:cs="Arial"/>
          <w:i/>
          <w:sz w:val="24"/>
          <w:szCs w:val="24"/>
        </w:rPr>
        <w:t>trans-4-(aminomethyl) cyclohexanecarboxylic acid</w:t>
      </w:r>
      <w:r w:rsidRPr="00C14CDB">
        <w:rPr>
          <w:rFonts w:ascii="Arial" w:hAnsi="Arial" w:cs="Arial"/>
          <w:sz w:val="24"/>
          <w:szCs w:val="24"/>
        </w:rPr>
        <w:t xml:space="preserve">) adalah turunan sintetik dari asam amino lisin yang secara kompetitif menghambat aktivasi plasminogen ke serine protease, plasmin, melalui pengikatan ke domain kringle. Asam traneksamat memiliki afinitas pengikatan yang 6–10 kali lebih tinggi dibandingkan dengan asam </w:t>
      </w:r>
      <w:r w:rsidRPr="00C14CDB">
        <w:rPr>
          <w:rFonts w:ascii="Arial" w:hAnsi="Arial" w:cs="Arial"/>
          <w:i/>
          <w:sz w:val="24"/>
          <w:szCs w:val="24"/>
        </w:rPr>
        <w:t>ε-aminocaproic</w:t>
      </w:r>
      <w:r w:rsidRPr="00C14CDB">
        <w:rPr>
          <w:rFonts w:ascii="Arial" w:hAnsi="Arial" w:cs="Arial"/>
          <w:sz w:val="24"/>
          <w:szCs w:val="24"/>
        </w:rPr>
        <w:t xml:space="preserve"> untuk lokasi pengikatan plasminogen / plasmin.</w:t>
      </w:r>
      <w:r w:rsidR="00F077CB" w:rsidRPr="00C14CDB">
        <w:rPr>
          <w:rFonts w:ascii="Arial" w:hAnsi="Arial" w:cs="Arial"/>
          <w:sz w:val="24"/>
          <w:szCs w:val="24"/>
          <w:lang w:val="id-ID"/>
        </w:rPr>
        <w:t xml:space="preserve"> Beberapa laporan kasus untuk penaganan gusi berdarah yang disebabkan oleh kelainan pendarahan juga menggunakan obat kumur </w:t>
      </w:r>
      <w:r w:rsidR="00F077CB" w:rsidRPr="00C14CDB">
        <w:rPr>
          <w:rFonts w:ascii="Arial" w:hAnsi="Arial" w:cs="Arial"/>
          <w:i/>
          <w:sz w:val="24"/>
          <w:szCs w:val="24"/>
          <w:lang w:val="id-ID"/>
        </w:rPr>
        <w:t xml:space="preserve">Antifibrinolytic. </w:t>
      </w:r>
      <w:r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{"citationItems":[{"id":"ITEM-1","itemData":{"DOI":"10.1111/anae.12910","ISSN":"13652044","PMID":"25440395","abstract":"There has been an explosion of interest in the ability of tranexamic acid to reduce morbidity and mortality in surgical and traumatic bleeding. Tranexamic acid has been shown to reduce mortality due to traumatic bleeding by a third, without apparent safety issues. It is now clearly established that intravenous tranexamic acid reduces blood loss in patients with surgical bleeding and the need for transfusion. It can also be used topically to reduce bleeding. Its use is being explored further in large pragmatic trials in traumatic head injury, postpartum haemorrhage and in upper gastro-intestinal haemorrhage. There are few side effects from the use of tranexamic acid except when administered in high dose where neurological events have been noted, possibly relating to tranexamic acid interfering with cerebral GABA and glycine receptors. However, clinical studies suggest that there is no increased efficacy in using a higher dose, and that a dose of 1 g intravenously in an adult patient has maximal efficacy, which is not increased by higher doses. The CRASH-2 trauma trial clearly showed no increase in thrombotic events after its use in trauma, indeed there was a significant reduction in myocardial infarction. However, trials of tranexamic acid in surgery have failed to adequately study its effects on the risk of postoperative venous and possible reduction in arterial thrombo-embolism, and this needs to be the subject of future research.","author":[{"dropping-particle":"","family":"Hunt","given":"B. J.","non-dropping-particle":"","parse-names":false,"suffix":""}],"container-title":"Anaesthesia","id":"ITEM-1","issued":{"date-parts":[["2015"]]},"page":"e18-53","title":"The current place of tranexamic acid in the management of bleeding","type":"article-journal","volume":"70"},"uris":["http://www.mendeley.com/documents/?uuid=e4e51617-8b2a-473d-995a-8a498dd63e3f","http://www.mendeley.com/documents/?uuid=2520099e-9181-471a-831c-7a4c74df382e"]},{"id":"ITEM-2","itemData":{"DOI":"10.5051/jpis.2017.47.3.134","ISBN":"0000000202916","ISSN":"20932286","abstract":"Purpose: This study aimed to evaluate the effects of a cetylpyridinium chloride (CPC) and tranexamic acid (TXA) mouth rinse on patients with gingivitis. Methods: This randomized, placebo-controlled, double-blind, parallel-group, clinical trial included 45 healthy adults with gingivitis, who were randomized into 2 groups. The experimental group used a 0.05% CPC and 0.05% TXA mouth rinse, and the control group used a placebo mouth rinse. The following clinical indices were assessed at baseline, at 3 weeks, and at 6 weeks: the Turesky-Quigley-Hein plaque index (QHI), the Löe-Silness gingival index (GI), and bleeding on marginal probing (BOMP). The subjects used the mouth rinse during the experimental period for 20 seconds, 4-5 times daily (10 mL each time). Results: There were no significant differences in the clinical indices between the groups at baseline. In the experimental group (CPC+TXA), a statistically significant improvement was evident in the QHI, GI, and BOMP at 3 and 6 weeks. These results were similar to those observed in the control group at 3 and 6 weeks, although the change in BOMP was not statistically significant in that group. At 6 weeks, the experimental group had a significantly lower mean score for the QHI than the control group. Conclusions: This study demonstrated that a CPC and TXA mouth rinse exhibited significant antiplaque and anti-gingivitis efficacy, and had a positive effect on bleeding control when used daily for 6 weeks.","author":[{"dropping-particle":"","family":"Lee","given":"Ji Eun","non-dropping-particle":"","parse-names":false,"suffix":""},{"dropping-particle":"","family":"Lee","given":"Jae Mok","non-dropping-particle":"","parse-names":false,"suffix":""},{"dropping-particle":"","family":"Lee","given":"Youngkyun","non-dropping-particle":"","parse-names":false,"suffix":""},{"dropping-particle":"","family":"Park","given":"Jin Woo","non-dropping-particle":"","parse-names":false,"suffix":""},{"dropping-particle":"","family":"Suh","given":"Jo Young","non-dropping-particle":"","parse-names":false,"suffix":""},{"dropping-particle":"","family":"Um","given":"Heung Sik","non-dropping-particle":"","parse-names":false,"suffix":""},{"dropping-particle":"","family":"Kim","given":"Yong Gun","non-dropping-particle":"","parse-names":false,"suffix":""}],"container-title":"Journal of Periodontal and Implant Science","id":"ITEM-2","issue":"3","issued":{"date-parts":[["2017"]]},"page":"134-142","title":"The antiplaque and bleeding control effects of a cetylpyridinium chloride and tranexamic acid mouth rinse in patients with gingivitis","type":"article-journal","volume":"47"},"uris":["http://www.mendeley.com/documents/?uuid=12197e75-fb33-4d28-a154-8363e7683903","http://www.mendeley.com/documents/?uuid=4fe86953-1f75-4306-8f15-74f56eccd4c4"]}],"mendeley":{"formattedCitation":"&lt;sup&gt;13,14&lt;/sup&gt;","plainTextFormattedCitation":"13,14","previouslyFormattedCitation":"&lt;sup&gt;13,14&lt;/sup&gt;"},"properties":{"noteIndex":0},"schema":"https://github.com/citation-style-language/schema/raw/master/csl-citation.json"}</w:instrText>
      </w:r>
      <w:r w:rsidRPr="00C14CDB">
        <w:rPr>
          <w:rFonts w:ascii="Arial" w:hAnsi="Arial" w:cs="Arial"/>
          <w:sz w:val="24"/>
          <w:szCs w:val="24"/>
        </w:rPr>
        <w:fldChar w:fldCharType="separate"/>
      </w:r>
      <w:r w:rsidR="00083F26" w:rsidRPr="00C14CDB">
        <w:rPr>
          <w:rFonts w:ascii="Arial" w:hAnsi="Arial" w:cs="Arial"/>
          <w:noProof/>
          <w:sz w:val="24"/>
          <w:szCs w:val="24"/>
          <w:vertAlign w:val="superscript"/>
        </w:rPr>
        <w:t>13,14</w:t>
      </w:r>
      <w:r w:rsidRPr="00C14CDB">
        <w:rPr>
          <w:rFonts w:ascii="Arial" w:hAnsi="Arial" w:cs="Arial"/>
          <w:sz w:val="24"/>
          <w:szCs w:val="24"/>
        </w:rPr>
        <w:fldChar w:fldCharType="end"/>
      </w:r>
      <w:r w:rsidRPr="00C14CDB">
        <w:rPr>
          <w:rFonts w:ascii="Arial" w:hAnsi="Arial" w:cs="Arial"/>
          <w:sz w:val="24"/>
          <w:szCs w:val="24"/>
          <w:vertAlign w:val="superscript"/>
        </w:rPr>
        <w:t>,</w:t>
      </w:r>
      <w:r w:rsidRPr="00C14CDB">
        <w:rPr>
          <w:rFonts w:ascii="Arial" w:hAnsi="Arial" w:cs="Arial"/>
          <w:sz w:val="24"/>
          <w:szCs w:val="24"/>
          <w:vertAlign w:val="superscript"/>
        </w:rPr>
        <w:fldChar w:fldCharType="begin" w:fldLock="1"/>
      </w:r>
      <w:r w:rsidR="00083F26" w:rsidRPr="00C14CDB">
        <w:rPr>
          <w:rFonts w:ascii="Arial" w:hAnsi="Arial" w:cs="Arial"/>
          <w:sz w:val="24"/>
          <w:szCs w:val="24"/>
          <w:vertAlign w:val="superscript"/>
        </w:rPr>
        <w:instrText>ADDIN CSL_CITATION {"citationItems":[{"id":"ITEM-1","itemData":{"DOI":"10.1111/jocd.12724","ISSN":"14732165","PMID":"30099833","abstract":"Background: Erythematotelangiectatic rosasea is a common,chronic, relapsing disease characterized mainly by vascular components, for which many therapies may exist but with limited efficacy. Objectives: We decided to test the efficacy of tranexamic acid when applied topically on the affected areas.,Tranexamic acid is an antifibrinolytic,thus we considered it could be effective at this type of rosacea. Methods: This is an unblinded study. We included 20 patients, having erythematotelangiectatic rosacea. All patients were women between 27 and 65 years-old. We divided the patients in two groups,the first group was treated only with tranexamic acid solution (Transamin inj/sol 500 mg/5 mL) infused wet dressing for 20 minutes, and the second group was treated with microneedling simultaneously with tranexamic acid solution topical application followed by tranexamic acid solution infused dressing therapy,every 15 days for four sessions. Results: The improvement assecion was outlined according to the Investigator Global Assessment of Rosacea Severity Score (IGA-RSS) and the use of clinical photos and dermoscopy. All patients were improved in the end of the therapy. There was statistically significant improvement, 2 units IGA-RSS in the first group, whereas 3 units IGA-RSS in the second group. The improvement lasted more than four months. The tolerability of the use of tranexamic acid was also asessed. Conclusions: According to our results a new really promising simple, safe and cheap treatment option targeting mainly to the vascular net and the erythema of rosacea is proposed.","author":[{"dropping-particle":"","family":"Bageorgou","given":"Fotini","non-dropping-particle":"","parse-names":false,"suffix":""},{"dropping-particle":"","family":"Vasalou","given":"Varvara","non-dropping-particle":"","parse-names":false,"suffix":""},{"dropping-particle":"","family":"Tzanetakou","given":"Vasiliki","non-dropping-particle":"","parse-names":false,"suffix":""},{"dropping-particle":"","family":"Kontochristopoulos","given":"George","non-dropping-particle":"","parse-names":false,"suffix":""}],"container-title":"Journal of Cosmetic Dermatology","id":"ITEM-1","issue":"2","issued":{"date-parts":[["2019"]]},"page":"563-567","title":"The new therapeutic choice of tranexamic acid solution in treatment of erythematotelangiectatic rosacea","type":"article-journal","volume":"18"},"uris":["http://www.mendeley.com/documents/?uuid=427b2cc4-08cd-4b4a-b794-3baa17b5745b","http://www.mendeley.com/documents/?uuid=d6e5e619-5483-416a-8f0a-684bdbde719a"]},{"id":"ITEM-2","itemData":{"DOI":"10.5603/AIT.a2015.0011","ISSN":"17312531","PMID":"25797505","abstract":"Blood loss and subsequent transfusions are associated with major morbidity and mortality. The use of antifibrinolytics can reduce blood loss in cardiac surgery, trauma, orthopedic surgery, liver surgery and solid organ transplantation, obstetrics and gynecology, neurosurgery and non-surgical diseases. The evidence of their efficacy has been mounting for years. Tranexamic acid (TXA), a synthetic lysine-analogue antifibrinolytic, was first patented in 1957 and its use has been increasing in contrast to aprotinin, a serine protease inhibitor antifibrinolytic. This review aims to help acute care physicians navigate through the clinical evidence available for TXA therapy, develop appropriate dose regimens whilst minimizing harm, as well as understand its broadening scope of applications. Many questions remain unanswered regarding other clinical effects of TXA such as anti-inflammatory response to cardiopulmonary bypass, the risk of thromboembolic events, adverse neurological effects such as seizures, and its morbidity and mortality, all of which necessitate further clinical trials on its usage and safety in various clinical settings.","author":[{"dropping-particle":"","family":"Ng","given":"William","non-dropping-particle":"","parse-names":false,"suffix":""},{"dropping-particle":"","family":"Jerath","given":"Angela","non-dropping-particle":"","parse-names":false,"suffix":""},{"dropping-particle":"","family":"Wasowicz","given":"Marcin","non-dropping-particle":"","parse-names":false,"suffix":""}],"container-title":"Anaesthesiology Intensive Therapy","id":"ITEM-2","issue":"4","issued":{"date-parts":[["2015"]]},"page":"339-350","title":"Tranexamic acid: A clinical review","type":"article-journal","volume":"47"},"uris":["http://www.mendeley.com/documents/?uuid=7270a6cc-98d2-46f2-b9d8-f6eecc4d1bf4","http://www.mendeley.com/documents/?uuid=1c392965-b437-4e02-b731-36ecb656be3a"]}],"mendeley":{"formattedCitation":"&lt;sup&gt;15,16&lt;/sup&gt;","plainTextFormattedCitation":"15,16","previouslyFormattedCitation":"&lt;sup&gt;15,16&lt;/sup&gt;"},"properties":{"noteIndex":0},"schema":"https://github.com/citation-style-language/schema/raw/master/csl-citation.json"}</w:instrText>
      </w:r>
      <w:r w:rsidRPr="00C14CDB">
        <w:rPr>
          <w:rFonts w:ascii="Arial" w:hAnsi="Arial" w:cs="Arial"/>
          <w:sz w:val="24"/>
          <w:szCs w:val="24"/>
          <w:vertAlign w:val="superscript"/>
        </w:rPr>
        <w:fldChar w:fldCharType="separate"/>
      </w:r>
      <w:r w:rsidR="00083F26" w:rsidRPr="00C14CDB">
        <w:rPr>
          <w:rFonts w:ascii="Arial" w:hAnsi="Arial" w:cs="Arial"/>
          <w:noProof/>
          <w:sz w:val="24"/>
          <w:szCs w:val="24"/>
          <w:vertAlign w:val="superscript"/>
        </w:rPr>
        <w:t>15,16</w:t>
      </w:r>
      <w:r w:rsidRPr="00C14CDB">
        <w:rPr>
          <w:rFonts w:ascii="Arial" w:hAnsi="Arial" w:cs="Arial"/>
          <w:sz w:val="24"/>
          <w:szCs w:val="24"/>
          <w:vertAlign w:val="superscript"/>
        </w:rPr>
        <w:fldChar w:fldCharType="end"/>
      </w:r>
      <w:r w:rsidRPr="00C14CDB">
        <w:rPr>
          <w:rFonts w:ascii="Arial" w:hAnsi="Arial" w:cs="Arial"/>
          <w:sz w:val="24"/>
          <w:szCs w:val="24"/>
        </w:rPr>
        <w:t xml:space="preserve"> </w:t>
      </w:r>
    </w:p>
    <w:p w14:paraId="0B4BC6BC" w14:textId="51E7E929" w:rsidR="00DC2F98" w:rsidRPr="00C14CDB" w:rsidRDefault="00DC2F98" w:rsidP="005174E2">
      <w:pPr>
        <w:spacing w:line="360" w:lineRule="auto"/>
        <w:jc w:val="both"/>
        <w:rPr>
          <w:rFonts w:ascii="Arial" w:hAnsi="Arial" w:cs="Arial"/>
          <w:sz w:val="24"/>
          <w:szCs w:val="24"/>
        </w:rPr>
      </w:pPr>
      <w:r w:rsidRPr="00C14CDB">
        <w:rPr>
          <w:rFonts w:ascii="Arial" w:hAnsi="Arial" w:cs="Arial"/>
          <w:sz w:val="24"/>
          <w:szCs w:val="24"/>
        </w:rPr>
        <w:tab/>
        <w:t xml:space="preserve">Asam traneksamat juga merupakan aktivator plasminogen </w:t>
      </w:r>
      <w:r w:rsidR="00916631" w:rsidRPr="00C14CDB">
        <w:rPr>
          <w:rFonts w:ascii="Arial" w:hAnsi="Arial" w:cs="Arial"/>
          <w:sz w:val="24"/>
          <w:szCs w:val="24"/>
        </w:rPr>
        <w:t xml:space="preserve">pada </w:t>
      </w:r>
      <w:r w:rsidRPr="00C14CDB">
        <w:rPr>
          <w:rFonts w:ascii="Arial" w:hAnsi="Arial" w:cs="Arial"/>
          <w:sz w:val="24"/>
          <w:szCs w:val="24"/>
        </w:rPr>
        <w:t xml:space="preserve">jaringan. </w:t>
      </w:r>
      <w:r w:rsidR="00916631" w:rsidRPr="00C14CDB">
        <w:rPr>
          <w:rFonts w:ascii="Arial" w:hAnsi="Arial" w:cs="Arial"/>
          <w:sz w:val="24"/>
          <w:szCs w:val="24"/>
        </w:rPr>
        <w:t xml:space="preserve">Dengan fungsi </w:t>
      </w:r>
      <w:r w:rsidRPr="00C14CDB">
        <w:rPr>
          <w:rFonts w:ascii="Arial" w:hAnsi="Arial" w:cs="Arial"/>
          <w:sz w:val="24"/>
          <w:szCs w:val="24"/>
        </w:rPr>
        <w:t xml:space="preserve">memblokir situs pengikatan lisin dari plasminogen, mengakibatkan penghambatan aktivasi plasminogen dan fibrin yang mengikat ke plasminogen dan </w:t>
      </w:r>
      <w:r w:rsidR="00916631" w:rsidRPr="00C14CDB">
        <w:rPr>
          <w:rFonts w:ascii="Arial" w:hAnsi="Arial" w:cs="Arial"/>
          <w:sz w:val="24"/>
          <w:szCs w:val="24"/>
        </w:rPr>
        <w:t>termasuk</w:t>
      </w:r>
      <w:r w:rsidRPr="00C14CDB">
        <w:rPr>
          <w:rFonts w:ascii="Arial" w:hAnsi="Arial" w:cs="Arial"/>
          <w:sz w:val="24"/>
          <w:szCs w:val="24"/>
        </w:rPr>
        <w:t xml:space="preserve"> gangguan fibrinolisis. Kapasitas asam traneksamat untuk mengikat plasminogen tampaknya 6 hingga 10 kali lebih kuat daripada asam </w:t>
      </w:r>
      <w:r w:rsidRPr="00C14CDB">
        <w:rPr>
          <w:rFonts w:ascii="Arial" w:hAnsi="Arial" w:cs="Arial"/>
          <w:i/>
          <w:iCs/>
          <w:sz w:val="24"/>
          <w:szCs w:val="24"/>
        </w:rPr>
        <w:t>epsilon aminocaproic</w:t>
      </w:r>
      <w:r w:rsidRPr="00C14CDB">
        <w:rPr>
          <w:rFonts w:ascii="Arial" w:hAnsi="Arial" w:cs="Arial"/>
          <w:sz w:val="24"/>
          <w:szCs w:val="24"/>
        </w:rPr>
        <w:t xml:space="preserve">. Selain itu, telah ditunjukkan bahwa asam traneksamat dapat memulihkan fungsi penghalang permeabilitas yang terganggu, menekan angiogenesis yang diinduksi plasmin. </w:t>
      </w:r>
      <w:r w:rsidR="00636E61" w:rsidRPr="00C14CDB">
        <w:rPr>
          <w:rFonts w:ascii="Arial" w:hAnsi="Arial" w:cs="Arial"/>
          <w:sz w:val="24"/>
          <w:szCs w:val="24"/>
        </w:rPr>
        <w:t>Terjadi p</w:t>
      </w:r>
      <w:r w:rsidRPr="00C14CDB">
        <w:rPr>
          <w:rFonts w:ascii="Arial" w:hAnsi="Arial" w:cs="Arial"/>
          <w:sz w:val="24"/>
          <w:szCs w:val="24"/>
        </w:rPr>
        <w:t xml:space="preserve">erdarahan akibat dari cedera pembuluh darah atau kerusakan jaringan, yang berhubungan dengan koagulasi dan fibrinolisis. Sistem ini mungkin tidak seimbang jika tidak ada trombosit, yang menyebabkan dominasi fibrinolisis. Trombosit juga terlibat dalam fibrinolisis. Trombosit melepaskan plasminogen setelah aktivasi oleh trombin. </w:t>
      </w:r>
      <w:r w:rsidRPr="00C14CDB">
        <w:rPr>
          <w:rFonts w:ascii="Arial" w:hAnsi="Arial" w:cs="Arial"/>
          <w:i/>
          <w:sz w:val="24"/>
          <w:szCs w:val="24"/>
        </w:rPr>
        <w:t>Phosphatidylserine</w:t>
      </w:r>
      <w:r w:rsidRPr="00C14CDB">
        <w:rPr>
          <w:rFonts w:ascii="Arial" w:hAnsi="Arial" w:cs="Arial"/>
          <w:sz w:val="24"/>
          <w:szCs w:val="24"/>
        </w:rPr>
        <w:t xml:space="preserve"> mengekspos trombosit </w:t>
      </w:r>
      <w:r w:rsidRPr="00C14CDB">
        <w:rPr>
          <w:rFonts w:ascii="Arial" w:hAnsi="Arial" w:cs="Arial"/>
          <w:sz w:val="24"/>
          <w:szCs w:val="24"/>
        </w:rPr>
        <w:lastRenderedPageBreak/>
        <w:t>yang juga mengikat plasminogen dan berkontribusi di bawah kondisi aliran lisis trombus.</w:t>
      </w:r>
      <w:r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{"citationItems":[{"id":"ITEM-1","itemData":{"DOI":"10.1111/vox.12549","ISSN":"14230410","PMID":"28952160","abstract":"Background and Objectives: The clinical significance of immune thrombocytopenia (ITP) is mainly reflected by bleeding and/or bleeding risks, which, in some cases, cannot be adequately controlled by standard therapy. Tranexamic acid (TA) is increasingly used in preventing and reducing bleeding in several medical settings. There is little information on whether TA may also be useful in the management of ITP. Materials and Methods: Twelve patients with ITP were treated with TA (0·5–3 g/day) due to recognizable bleeding. Ten of the 12 patients were under regular treatment for ITP. The remaining two patients did not require additional therapy. Results: Cessation or, at least, significant improvement of bleeding was achieved shortly after the initiation of TA in all cases. TA was well tolerated and discontinued after cessation of bleeding. Conclusions: We recommend the use of TA in ITP patients with bleeding and/or an increased bleeding risk. Ultimately, cessation of bleeding plays a key role in the management of such affected patients. However, future studies are required to optimize dose and administration routes (intravenous or oral).","author":[{"dropping-particle":"","family":"Mayer","given":"Beate","non-dropping-particle":"","parse-names":false,"suffix":""},{"dropping-particle":"","family":"Salama","given":"Abdulgabar","non-dropping-particle":"","parse-names":false,"suffix":""}],"container-title":"Vox Sanguinis","id":"ITEM-1","issue":"8","issued":{"date-parts":[["2017"]]},"page":"767-772","title":"Successful treatment of bleeding with tranexamic acid in a series of 12 patients with immune thrombocytopenia","type":"article-journal","volume":"112"},"uris":["http://www.mendeley.com/documents/?uuid=e244f46a-3984-4576-ac45-f603e981e86a","http://www.mendeley.com/documents/?uuid=12eb0f7c-7ccd-4f3c-a253-b72d34a31f2a"]},{"id":"ITEM-2","itemData":{"DOI":"10.1111/jocd.12724","ISSN":"14732165","PMID":"30099833","abstract":"Background: Erythematotelangiectatic rosasea is a common,chronic, relapsing disease characterized mainly by vascular components, for which many therapies may exist but with limited efficacy. Objectives: We decided to test the efficacy of tranexamic acid when applied topically on the affected areas.,Tranexamic acid is an antifibrinolytic,thus we considered it could be effective at this type of rosacea. Methods: This is an unblinded study. We included 20 patients, having erythematotelangiectatic rosacea. All patients were women between 27 and 65 years-old. We divided the patients in two groups,the first group was treated only with tranexamic acid solution (Transamin inj/sol 500 mg/5 mL) infused wet dressing for 20 minutes, and the second group was treated with microneedling simultaneously with tranexamic acid solution topical application followed by tranexamic acid solution infused dressing therapy,every 15 days for four sessions. Results: The improvement assecion was outlined according to the Investigator Global Assessment of Rosacea Severity Score (IGA-RSS) and the use of clinical photos and dermoscopy. All patients were improved in the end of the therapy. There was statistically significant improvement, 2 units IGA-RSS in the first group, whereas 3 units IGA-RSS in the second group. The improvement lasted more than four months. The tolerability of the use of tranexamic acid was also asessed. Conclusions: According to our results a new really promising simple, safe and cheap treatment option targeting mainly to the vascular net and the erythema of rosacea is proposed.","author":[{"dropping-particle":"","family":"Bageorgou","given":"Fotini","non-dropping-particle":"","parse-names":false,"suffix":""},{"dropping-particle":"","family":"Vasalou","given":"Varvara","non-dropping-particle":"","parse-names":false,"suffix":""},{"dropping-particle":"","family":"Tzanetakou","given":"Vasiliki","non-dropping-particle":"","parse-names":false,"suffix":""},{"dropping-particle":"","family":"Kontochristopoulos","given":"George","non-dropping-particle":"","parse-names":false,"suffix":""}],"container-title":"Journal of Cosmetic Dermatology","id":"ITEM-2","issue":"2","issued":{"date-parts":[["2019"]]},"page":"563-567","title":"The new therapeutic choice of tranexamic acid solution in treatment of erythematotelangiectatic rosacea","type":"article-journal","volume":"18"},"uris":["http://www.mendeley.com/documents/?uuid=d6e5e619-5483-416a-8f0a-684bdbde719a","http://www.mendeley.com/documents/?uuid=427b2cc4-08cd-4b4a-b794-3baa17b5745b"]},{"id":"ITEM-3","itemData":{"DOI":"10.1111/anae.12910","ISSN":"13652044","PMID":"25440395","abstract":"There has been an explosion of interest in the ability of tranexamic acid to reduce morbidity and mortality in surgical and traumatic bleeding. Tranexamic acid has been shown to reduce mortality due to traumatic bleeding by a third, without apparent safety issues. It is now clearly established that intravenous tranexamic acid reduces blood loss in patients with surgical bleeding and the need for transfusion. It can also be used topically to reduce bleeding. Its use is being explored further in large pragmatic trials in traumatic head injury, postpartum haemorrhage and in upper gastro-intestinal haemorrhage. There are few side effects from the use of tranexamic acid except when administered in high dose where neurological events have been noted, possibly relating to tranexamic acid interfering with cerebral GABA and glycine receptors. However, clinical studies suggest that there is no increased efficacy in using a higher dose, and that a dose of 1 g intravenously in an adult patient has maximal efficacy, which is not increased by higher doses. The CRASH-2 trauma trial clearly showed no increase in thrombotic events after its use in trauma, indeed there was a significant reduction in myocardial infarction. However, trials of tranexamic acid in surgery have failed to adequately study its effects on the risk of postoperative venous and possible reduction in arterial thrombo-embolism, and this needs to be the subject of future research.","author":[{"dropping-particle":"","family":"Hunt","given":"B. J.","non-dropping-particle":"","parse-names":false,"suffix":""}],"container-title":"Anaesthesia","id":"ITEM-3","issued":{"date-parts":[["2015"]]},"page":"e18-53","title":"The current place of tranexamic acid in the management of bleeding","type":"article-journal","volume":"70"},"uris":["http://www.mendeley.com/documents/?uuid=2520099e-9181-471a-831c-7a4c74df382e","http://www.mendeley.com/documents/?uuid=e4e51617-8b2a-473d-995a-8a498dd63e3f","http://www.mendeley.com/documents/?uuid=2d4bf5df-f559-4a79-a966-a3141724d0ab"]}],"mendeley":{"formattedCitation":"&lt;sup&gt;13,15,17&lt;/sup&gt;","plainTextFormattedCitation":"13,15,17","previouslyFormattedCitation":"&lt;sup&gt;13,15,17&lt;/sup&gt;"},"properties":{"noteIndex":0},"schema":"https://github.com/citation-style-language/schema/raw/master/csl-citation.json"}</w:instrText>
      </w:r>
      <w:r w:rsidRPr="00C14CDB">
        <w:rPr>
          <w:rFonts w:ascii="Arial" w:hAnsi="Arial" w:cs="Arial"/>
          <w:sz w:val="24"/>
          <w:szCs w:val="24"/>
        </w:rPr>
        <w:fldChar w:fldCharType="separate"/>
      </w:r>
      <w:r w:rsidR="00083F26" w:rsidRPr="00C14CDB">
        <w:rPr>
          <w:rFonts w:ascii="Arial" w:hAnsi="Arial" w:cs="Arial"/>
          <w:noProof/>
          <w:sz w:val="24"/>
          <w:szCs w:val="24"/>
          <w:vertAlign w:val="superscript"/>
        </w:rPr>
        <w:t>13,15,17</w:t>
      </w:r>
      <w:r w:rsidRPr="00C14CDB">
        <w:rPr>
          <w:rFonts w:ascii="Arial" w:hAnsi="Arial" w:cs="Arial"/>
          <w:sz w:val="24"/>
          <w:szCs w:val="24"/>
        </w:rPr>
        <w:fldChar w:fldCharType="end"/>
      </w:r>
      <w:r w:rsidRPr="00C14CDB">
        <w:rPr>
          <w:rFonts w:ascii="Arial" w:hAnsi="Arial" w:cs="Arial"/>
          <w:sz w:val="24"/>
          <w:szCs w:val="24"/>
          <w:vertAlign w:val="superscript"/>
        </w:rPr>
        <w:t>,</w:t>
      </w:r>
      <w:r w:rsidRPr="00C14CDB">
        <w:rPr>
          <w:rFonts w:ascii="Arial" w:hAnsi="Arial" w:cs="Arial"/>
          <w:sz w:val="24"/>
          <w:szCs w:val="24"/>
          <w:vertAlign w:val="superscript"/>
        </w:rPr>
        <w:fldChar w:fldCharType="begin" w:fldLock="1"/>
      </w:r>
      <w:r w:rsidR="00083F26" w:rsidRPr="00C14CDB">
        <w:rPr>
          <w:rFonts w:ascii="Arial" w:hAnsi="Arial" w:cs="Arial"/>
          <w:sz w:val="24"/>
          <w:szCs w:val="24"/>
          <w:vertAlign w:val="superscript"/>
        </w:rPr>
        <w:instrText>ADDIN CSL_CITATION {"citationItems":[{"id":"ITEM-1","itemData":{"DOI":"10.1097/CPM.0000000000000200","ISBN":"0000000000000","ISSN":"15365956","abstract":"Tranexamic acid (TXA) is an antifibrinolytic agent used to promote hemostasis. TXA is widely used to arrest bleeding in trauma, perioperatively after cardiac surgery, for menorrhagia, and in hemophilia. Less attention has been given to using TXA to lessen hemoptysis, which is the subject of this systematic review. Three small, underpowered randomized controlled trials have examined the efficacy of TXA in hemoptysis. Two of these assessed intravenous TXA, one of which showed significant reduction in the severity and duration of hemoptysis. The third trial examined oral TXA for controlling hemoptysis and failed to show a significant reduction in the amount or duration of hemoptysis. Although inhaled TXA has been described in several case reports and small series, no trial has examined the efficacy of inhaled TXA. The weight of evidence suggests that systemic administration of TXA is safe and does not increase the risk for thrombosis; no adverse effects have been described in the few available reports of inhaled TXA. Overall, TXA is an underrecognized treatment that may have temporizing value in managing patients with nonmassive hemoptysis. In the context that the available literature is sparse, large, well-designed clinical trials are needed to advance understanding of the role of TXA in hemoptysis.","author":[{"dropping-particle":"","family":"Gadre","given":"Abhishek","non-dropping-particle":"","parse-names":false,"suffix":""},{"dropping-particle":"","family":"Stoller","given":"James K.","non-dropping-particle":"","parse-names":false,"suffix":""}],"container-title":"Clinical Pulmonary Medicine","id":"ITEM-1","issue":"2","issued":{"date-parts":[["2017"]]},"page":"69-74","title":"Tranexamic Acid for Hemoptysis: A review","type":"article-journal","volume":"24"},"uris":["http://www.mendeley.com/documents/?uuid=b34b0283-f778-4700-b81b-ead1ed6f12e0","http://www.mendeley.com/documents/?uuid=85e51ddf-a200-48b4-a6e5-f6b44a1dbb3c"]}],"mendeley":{"formattedCitation":"&lt;sup&gt;18&lt;/sup&gt;","plainTextFormattedCitation":"18","previouslyFormattedCitation":"&lt;sup&gt;18&lt;/sup&gt;"},"properties":{"noteIndex":0},"schema":"https://github.com/citation-style-language/schema/raw/master/csl-citation.json"}</w:instrText>
      </w:r>
      <w:r w:rsidRPr="00C14CDB">
        <w:rPr>
          <w:rFonts w:ascii="Arial" w:hAnsi="Arial" w:cs="Arial"/>
          <w:sz w:val="24"/>
          <w:szCs w:val="24"/>
          <w:vertAlign w:val="superscript"/>
        </w:rPr>
        <w:fldChar w:fldCharType="separate"/>
      </w:r>
      <w:r w:rsidR="00083F26" w:rsidRPr="00C14CDB">
        <w:rPr>
          <w:rFonts w:ascii="Arial" w:hAnsi="Arial" w:cs="Arial"/>
          <w:noProof/>
          <w:sz w:val="24"/>
          <w:szCs w:val="24"/>
          <w:vertAlign w:val="superscript"/>
        </w:rPr>
        <w:t>18</w:t>
      </w:r>
      <w:r w:rsidRPr="00C14CDB">
        <w:rPr>
          <w:rFonts w:ascii="Arial" w:hAnsi="Arial" w:cs="Arial"/>
          <w:sz w:val="24"/>
          <w:szCs w:val="24"/>
          <w:vertAlign w:val="superscript"/>
        </w:rPr>
        <w:fldChar w:fldCharType="end"/>
      </w:r>
      <w:r w:rsidRPr="00C14CDB">
        <w:rPr>
          <w:rFonts w:ascii="Arial" w:hAnsi="Arial" w:cs="Arial"/>
          <w:sz w:val="24"/>
          <w:szCs w:val="24"/>
          <w:vertAlign w:val="superscript"/>
        </w:rPr>
        <w:t>,</w:t>
      </w:r>
      <w:r w:rsidRPr="00C14CDB">
        <w:rPr>
          <w:rFonts w:ascii="Arial" w:hAnsi="Arial" w:cs="Arial"/>
          <w:sz w:val="24"/>
          <w:szCs w:val="24"/>
          <w:vertAlign w:val="superscript"/>
        </w:rPr>
        <w:fldChar w:fldCharType="begin" w:fldLock="1"/>
      </w:r>
      <w:r w:rsidR="00083F26" w:rsidRPr="00C14CDB">
        <w:rPr>
          <w:rFonts w:ascii="Arial" w:hAnsi="Arial" w:cs="Arial"/>
          <w:sz w:val="24"/>
          <w:szCs w:val="24"/>
          <w:vertAlign w:val="superscript"/>
        </w:rPr>
        <w:instrText>ADDIN CSL_CITATION {"citationItems":[{"id":"ITEM-1","itemData":{"DOI":"10.3928/01477447-20160301-05","ISSN":"19382367","PMID":"26942474","abstract":"Perioperative bleeding and postsurgical hemorrhage are common in invasive surgical procedures, including orthopedic surgery. Tranexamic acid (TXA) is a pharmacologic agent that acts through an antifibrinolytic mechanism to stabilize formed clots and reduce active bleeding. It has been used successfully in orthopedics to reduce perioperative blood loss, particularly in total hip and knee arthroplasty and spine surgery. Numerous research studies have reported favorable safety and efficacy in orthopedic cases, although there is no universal standard on its administration and its use has not yet become the standard of practice. Reported administration methods often depend on the surgeon's preference, with both topical and intravenous routes showing efficacy. The type and anatomic site of the surgery seem to influence the decision making but also result in conflicting opinions. Reported complication rates with TXA use are low. The incidence of both arterial and venous thromboembolic events, particularly deep venous thrombosis and pulmonary embolism, has not been found to be significantly different with TXA use for healthy patients. The route of administration and dosage do not appear to affect complication rates either. However, data on patients with higher-risk conditions are deficient. In addition, TXA has shown potential to reduce blood loss, transfusion rates and volumes, perioperative hemoglobin change, and hospital-related costs at various degrees among the published studies. Conservation of blood products, reduced laboratory costs, and shorter hospital stays are likely the major factors driving the cost savings associated with TXA use. This article reviews current data supporting the safety, efficacy, and cost-effectiveness of TXA in orthopedic surgery.","author":[{"dropping-particle":"","family":"Lin","given":"Zilan X.","non-dropping-particle":"","parse-names":false,"suffix":""},{"dropping-particle":"","family":"Woolf","given":"Shane K.","non-dropping-particle":"","parse-names":false,"suffix":""}],"container-title":"Orthopedics","id":"ITEM-1","issue":"2","issued":{"date-parts":[["2016"]]},"page":"119-130","title":"Safety, efficacy, and cost-effectiveness of tranexamic acid in orthopedic surgery","type":"article-journal","volume":"39"},"uris":["http://www.mendeley.com/documents/?uuid=718455f5-633a-4bf8-92bc-bb9deb0019c8","http://www.mendeley.com/documents/?uuid=e1727d8f-fc80-48ba-a82a-9decbbfa5d64"]}],"mendeley":{"formattedCitation":"&lt;sup&gt;19&lt;/sup&gt;","plainTextFormattedCitation":"19","previouslyFormattedCitation":"&lt;sup&gt;19&lt;/sup&gt;"},"properties":{"noteIndex":0},"schema":"https://github.com/citation-style-language/schema/raw/master/csl-citation.json"}</w:instrText>
      </w:r>
      <w:r w:rsidRPr="00C14CDB">
        <w:rPr>
          <w:rFonts w:ascii="Arial" w:hAnsi="Arial" w:cs="Arial"/>
          <w:sz w:val="24"/>
          <w:szCs w:val="24"/>
          <w:vertAlign w:val="superscript"/>
        </w:rPr>
        <w:fldChar w:fldCharType="separate"/>
      </w:r>
      <w:r w:rsidR="00083F26" w:rsidRPr="00C14CDB">
        <w:rPr>
          <w:rFonts w:ascii="Arial" w:hAnsi="Arial" w:cs="Arial"/>
          <w:noProof/>
          <w:sz w:val="24"/>
          <w:szCs w:val="24"/>
          <w:vertAlign w:val="superscript"/>
        </w:rPr>
        <w:t>19</w:t>
      </w:r>
      <w:r w:rsidRPr="00C14CDB">
        <w:rPr>
          <w:rFonts w:ascii="Arial" w:hAnsi="Arial" w:cs="Arial"/>
          <w:sz w:val="24"/>
          <w:szCs w:val="24"/>
          <w:vertAlign w:val="superscript"/>
        </w:rPr>
        <w:fldChar w:fldCharType="end"/>
      </w:r>
    </w:p>
    <w:p w14:paraId="1B2F37CC" w14:textId="1EDCC51E" w:rsidR="005A062C" w:rsidRPr="0028266E" w:rsidRDefault="00DC2F98" w:rsidP="005174E2">
      <w:pPr>
        <w:spacing w:line="360" w:lineRule="auto"/>
        <w:jc w:val="both"/>
        <w:rPr>
          <w:rFonts w:ascii="Arial" w:hAnsi="Arial" w:cs="Arial"/>
          <w:sz w:val="24"/>
          <w:szCs w:val="24"/>
          <w:lang w:val="id-ID"/>
        </w:rPr>
      </w:pPr>
      <w:r w:rsidRPr="00C14CDB">
        <w:rPr>
          <w:rFonts w:ascii="Arial" w:hAnsi="Arial" w:cs="Arial"/>
          <w:sz w:val="24"/>
          <w:szCs w:val="24"/>
        </w:rPr>
        <w:tab/>
        <w:t xml:space="preserve">Pemberian terapi asam traneksamat yang lazim adalah melalui intravena, sedangkan pemberian secara topikal berupa obat kumur </w:t>
      </w:r>
      <w:r w:rsidR="00636E61" w:rsidRPr="00C14CDB">
        <w:rPr>
          <w:rFonts w:ascii="Arial" w:hAnsi="Arial" w:cs="Arial"/>
          <w:sz w:val="24"/>
          <w:szCs w:val="24"/>
        </w:rPr>
        <w:t xml:space="preserve">belum </w:t>
      </w:r>
      <w:r w:rsidR="009E18FC" w:rsidRPr="00C14CDB">
        <w:rPr>
          <w:rFonts w:ascii="Arial" w:hAnsi="Arial" w:cs="Arial"/>
          <w:sz w:val="24"/>
          <w:szCs w:val="24"/>
        </w:rPr>
        <w:t>ada</w:t>
      </w:r>
      <w:r w:rsidR="00C40BD6" w:rsidRPr="00C14CDB">
        <w:rPr>
          <w:rFonts w:ascii="Arial" w:hAnsi="Arial" w:cs="Arial"/>
          <w:sz w:val="24"/>
          <w:szCs w:val="24"/>
        </w:rPr>
        <w:t xml:space="preserve"> diproduksi</w:t>
      </w:r>
      <w:r w:rsidRPr="00C14CDB">
        <w:rPr>
          <w:rFonts w:ascii="Arial" w:hAnsi="Arial" w:cs="Arial"/>
          <w:sz w:val="24"/>
          <w:szCs w:val="24"/>
        </w:rPr>
        <w:t xml:space="preserve">, namun sudah sangat </w:t>
      </w:r>
      <w:r w:rsidR="005A062C" w:rsidRPr="00C14CDB">
        <w:rPr>
          <w:rFonts w:ascii="Arial" w:hAnsi="Arial" w:cs="Arial"/>
          <w:sz w:val="24"/>
          <w:szCs w:val="24"/>
        </w:rPr>
        <w:t xml:space="preserve">sering </w:t>
      </w:r>
      <w:r w:rsidRPr="00C14CDB">
        <w:rPr>
          <w:rFonts w:ascii="Arial" w:hAnsi="Arial" w:cs="Arial"/>
          <w:sz w:val="24"/>
          <w:szCs w:val="24"/>
        </w:rPr>
        <w:t>digunakan dalam mengatasi perdarahan akibat tindakan bedah, kelainan sistemik, maupun di bidang ginekologi</w:t>
      </w:r>
      <w:r w:rsidR="005A062C" w:rsidRPr="00C14CDB">
        <w:rPr>
          <w:rFonts w:ascii="Arial" w:hAnsi="Arial" w:cs="Arial"/>
          <w:sz w:val="24"/>
          <w:szCs w:val="24"/>
        </w:rPr>
        <w:t>. A</w:t>
      </w:r>
      <w:r w:rsidRPr="00C14CDB">
        <w:rPr>
          <w:rFonts w:ascii="Arial" w:hAnsi="Arial" w:cs="Arial"/>
          <w:sz w:val="24"/>
          <w:szCs w:val="24"/>
        </w:rPr>
        <w:t xml:space="preserve">sam traneksamat yang dibuat dalam bentuk topikal tidak ada konsensus </w:t>
      </w:r>
      <w:r w:rsidR="005A062C" w:rsidRPr="00C14CDB">
        <w:rPr>
          <w:rFonts w:ascii="Arial" w:hAnsi="Arial" w:cs="Arial"/>
          <w:sz w:val="24"/>
          <w:szCs w:val="24"/>
        </w:rPr>
        <w:t>dosis</w:t>
      </w:r>
      <w:r w:rsidRPr="00C14CDB">
        <w:rPr>
          <w:rFonts w:ascii="Arial" w:hAnsi="Arial" w:cs="Arial"/>
          <w:sz w:val="24"/>
          <w:szCs w:val="24"/>
        </w:rPr>
        <w:t xml:space="preserve"> yang ideal. Terdapat beberapa penelitian yang menggunakan asam traneksamat sebagai terapi perdarahan secara topikal dengan konsentrasi 0,1% (5mg/1ml) untuk perdarahan akibat operasi luka bakar, sedangkan konsentrasi 5% (50mg/1 ml) lebih sering digunakan pada tindakan bedah dental yang memiliki gangguan perdarahan. Analisis yang dilakukan oleh Montroy,2018 menemukan bahwa konsentrasi yang digunakan untuk asam traneksamat topikal antara 1mg/mL hingga 100mg/mL.Secara teori pemberian asam traneksamat secara topikal lebih aman dibandingkan pemberian secara intravena karena pemberian secara topikal menghasilkan penurunan konsentrasi plasma 90% dibandingkan dengan intravena </w:t>
      </w:r>
      <w:r w:rsidRPr="00C14CDB">
        <w:rPr>
          <w:rFonts w:ascii="Arial" w:hAnsi="Arial" w:cs="Arial"/>
          <w:sz w:val="24"/>
          <w:szCs w:val="24"/>
        </w:rPr>
        <w:fldChar w:fldCharType="begin" w:fldLock="1"/>
      </w:r>
      <w:r w:rsidR="00083F26" w:rsidRPr="00C14CDB">
        <w:rPr>
          <w:rFonts w:ascii="Arial" w:hAnsi="Arial" w:cs="Arial"/>
          <w:sz w:val="24"/>
          <w:szCs w:val="24"/>
        </w:rPr>
        <w:instrText>ADDIN CSL_CITATION {"citationItems":[{"id":"ITEM-1","itemData":{"DOI":"10.1016/j.bjps.2011.09.028","ISSN":"17486815","PMID":"21983540","abstract":"We describe, for the first time, the use of topical tranexamic acid as an adjunct to traditional methods in the control of bleeding in burns surgery. We illustrate our use with a case example and continue to discuss the reasons we believe it is a useful, effective and safe means of achieving haemostasis. © 2012 British Association of Plastic, Reconstructive and Aesthetic Surgeons. Published by Elsevier Ltd. All rights reserved.","author":[{"dropping-particle":"","family":"Tang","given":"Y. M.J.","non-dropping-particle":"","parse-names":false,"suffix":""},{"dropping-particle":"","family":"Chapman","given":"T. W.L.","non-dropping-particle":"","parse-names":false,"suffix":""},{"dropping-particle":"","family":"Brooks","given":"P.","non-dropping-particle":"","parse-names":false,"suffix":""}],"container-title":"Journal of Plastic, Reconstructive and Aesthetic Surgery","id":"ITEM-1","issue":"5","issued":{"date-parts":[["2012"]]},"page":"684-686","publisher":"Elsevier Ltd","title":"Use of tranexamic acid to reduce bleeding in burns surgery","type":"article-journal","volume":"65"},"uris":["http://www.mendeley.com/documents/?uuid=a166d3af-7c60-46ca-abe3-2ecb9ac17135","http://www.mendeley.com/documents/?uuid=088845c2-673c-4993-8b6e-380a88f274ec"]},{"id":"ITEM-2","itemData":{"DOI":"10.1016/j.tmrv.2018.02.003","ISSN":"15329496","abstract":"Tranexamic acid (TXA) is an effective hemostatic agent used for the reduction of blood loss and transfusion. However, the safety profile of TXA remains in question due to a potential increased risk of venous thromboembolism. By applying TXA topically as opposed to intravenously, systemic absorption may be reduced and unwanted side-effects mitigated. The objective of our review is to investigate the efficacy and safety of topically applied tranexamic acid compared to both placebo, and the intravenous administration. Cochrane Central Register of Controlled Trials, MEDLINE, Embase, ISI Web of Science, PubMed, and Clinicaltrials.gov were searched from inception to November, 2016. We included randomized controlled trials that compared topical tranexamic acid to either placebo (or standard care) or intravenous administration, in adult patients. Surgical and non-surgical trials were included. Abstract, full-text selection, data extraction and risk of bias assessment were all performed in duplicate. In total, 67 studies involving 6,034 patients met inclusion criteria. The majority of trials evaluated orthopedic procedures. Compared to placebo, the administration of topical TXA significantly reduced the odds of receiving a blood transfusion (pooled OR 0.28, 95% CI 0.20 to 0.38; P &lt; 0.001) and significantly reduced mean blood loss (WMD -276.6, 95% CI -327.8 to -225.4; P &lt; 0.0001). When compared to the intravenous administration, there was no difference between the two groups in terms of transfusion requirements (pooled OR 1.03, 95% CI 0.72 to 1.46; P=0.88) or blood loss (WMD -21.95, 95% CI -66.61 to 27.71; P=0.34). There was no difference in the odds of developing a venous thromboembolic complication between the topical TXA and control groups (pooled OR=0.78, 95% CI 0.47 to 1.29; P=0.33) or the topical and intravenous groups (pooled OR=0.75, 95% CI 0.39 to 1.46; P=0.40). The topical application of TXA effectively reduces both transfusion risk and blood loss compared to placebo, without increasing thromboembolic risks. There were no major differences between topical and intravenous tranexamic acid with respect to safety and efficacy, and both were superior to placebo with regards to blood loss and transfusion requirements. Further study of the topical application is required outside of the field of orthopedics.","author":[{"dropping-particle":"","family":"Montroy","given":"Joshua","non-dropping-particle":"","parse-names":false,"suffix":""},{"dropping-particle":"","family":"Hutton","given":"Brian","non-dropping-particle":"","parse-names":false,"suffix":""},{"dropping-particle":"","family":"Moodley","given":"Preveshen","non-dropping-particle":"","parse-names":false,"suffix":""},{"dropping-particle":"","family":"Fergusson","given":"Nicholas A.","non-dropping-particle":"","parse-names":false,"suffix":""},{"dropping-particle":"","family":"Cheng","given":"Wei","non-dropping-particle":"","parse-names":false,"suffix":""},{"dropping-particle":"","family":"Tinmouth","given":"Alan","non-dropping-particle":"","parse-names":false,"suffix":""},{"dropping-particle":"","family":"Lavallée","given":"Luke T.","non-dropping-particle":"","parse-names":false,"suffix":""},{"dropping-particle":"","family":"Fergusson","given":"Dean A.","non-dropping-particle":"","parse-names":false,"suffix":""},{"dropping-particle":"","family":"Breau","given":"Rodney H.","non-dropping-particle":"","parse-names":false,"suffix":""}],"container-title":"Transfusion Medicine Reviews","id":"ITEM-2","issue":"3","issued":{"date-parts":[["2018"]]},"page":"165-178","publisher":"Elsevier Inc","title":"The efficacy and safety of topical tranexamic acid: A systematic review and meta-analysis","type":"article-journal","volume":"32"},"uris":["http://www.mendeley.com/documents/?uuid=41a1e67f-379a-48e7-9fde-b3c2a3770dbf","http://www.mendeley.com/documents/?uuid=beba1d6b-ecbb-466f-b84f-c4225e64b0d8"]}],"mendeley":{"formattedCitation":"&lt;sup&gt;20,21&lt;/sup&gt;","plainTextFormattedCitation":"20,21","previouslyFormattedCitation":"&lt;sup&gt;20,21&lt;/sup&gt;"},"properties":{"noteIndex":0},"schema":"https://github.com/citation-style-language/schema/raw/master/csl-citation.json"}</w:instrText>
      </w:r>
      <w:r w:rsidRPr="00C14CDB">
        <w:rPr>
          <w:rFonts w:ascii="Arial" w:hAnsi="Arial" w:cs="Arial"/>
          <w:sz w:val="24"/>
          <w:szCs w:val="24"/>
        </w:rPr>
        <w:fldChar w:fldCharType="separate"/>
      </w:r>
      <w:r w:rsidR="00083F26" w:rsidRPr="00C14CDB">
        <w:rPr>
          <w:rFonts w:ascii="Arial" w:hAnsi="Arial" w:cs="Arial"/>
          <w:noProof/>
          <w:sz w:val="24"/>
          <w:szCs w:val="24"/>
          <w:vertAlign w:val="superscript"/>
        </w:rPr>
        <w:t>20,21</w:t>
      </w:r>
      <w:r w:rsidRPr="00C14CDB">
        <w:rPr>
          <w:rFonts w:ascii="Arial" w:hAnsi="Arial" w:cs="Arial"/>
          <w:sz w:val="24"/>
          <w:szCs w:val="24"/>
        </w:rPr>
        <w:fldChar w:fldCharType="end"/>
      </w:r>
      <w:r w:rsidRPr="00C14CDB">
        <w:rPr>
          <w:rFonts w:ascii="Arial" w:hAnsi="Arial" w:cs="Arial"/>
          <w:sz w:val="24"/>
          <w:szCs w:val="24"/>
        </w:rPr>
        <w:t xml:space="preserve"> Pada kasus ini, konstentrasi asam traneksamat yang digunakan untuk terapi perdarahan </w:t>
      </w:r>
      <w:r w:rsidR="00AB39F3" w:rsidRPr="00C14CDB">
        <w:rPr>
          <w:rFonts w:ascii="Arial" w:hAnsi="Arial" w:cs="Arial"/>
          <w:sz w:val="24"/>
          <w:szCs w:val="24"/>
        </w:rPr>
        <w:t>gusi</w:t>
      </w:r>
      <w:r w:rsidRPr="00C14CDB">
        <w:rPr>
          <w:rFonts w:ascii="Arial" w:hAnsi="Arial" w:cs="Arial"/>
          <w:sz w:val="24"/>
          <w:szCs w:val="24"/>
        </w:rPr>
        <w:t xml:space="preserve"> pada kasus </w:t>
      </w:r>
      <w:r w:rsidR="0090709A" w:rsidRPr="00C14CDB">
        <w:rPr>
          <w:rFonts w:ascii="Arial" w:hAnsi="Arial" w:cs="Arial"/>
          <w:sz w:val="24"/>
          <w:szCs w:val="24"/>
        </w:rPr>
        <w:t>Pansitopenia</w:t>
      </w:r>
      <w:r w:rsidRPr="00C14CDB">
        <w:rPr>
          <w:rFonts w:ascii="Arial" w:hAnsi="Arial" w:cs="Arial"/>
          <w:sz w:val="24"/>
          <w:szCs w:val="24"/>
        </w:rPr>
        <w:t xml:space="preserve"> adalah 1% (500mg/500mL). </w:t>
      </w:r>
    </w:p>
    <w:p w14:paraId="62312F1A" w14:textId="77777777" w:rsidR="00DC2F98" w:rsidRPr="00C14CDB" w:rsidRDefault="00DC2F98" w:rsidP="005174E2">
      <w:pPr>
        <w:spacing w:line="360" w:lineRule="auto"/>
        <w:jc w:val="both"/>
        <w:rPr>
          <w:rFonts w:ascii="Arial" w:hAnsi="Arial" w:cs="Arial"/>
          <w:b/>
          <w:sz w:val="24"/>
          <w:szCs w:val="24"/>
        </w:rPr>
      </w:pPr>
      <w:r w:rsidRPr="00C14CDB">
        <w:rPr>
          <w:rFonts w:ascii="Arial" w:hAnsi="Arial" w:cs="Arial"/>
          <w:b/>
          <w:sz w:val="24"/>
          <w:szCs w:val="24"/>
        </w:rPr>
        <w:t>Simpulan</w:t>
      </w:r>
    </w:p>
    <w:p w14:paraId="0D6BE4D2" w14:textId="77777777" w:rsidR="00080FE6" w:rsidRPr="00C14CDB" w:rsidRDefault="00DC2F98" w:rsidP="00080FE6">
      <w:pPr>
        <w:spacing w:line="276" w:lineRule="auto"/>
        <w:jc w:val="both"/>
        <w:rPr>
          <w:rFonts w:ascii="Arial" w:hAnsi="Arial" w:cs="Arial"/>
          <w:sz w:val="24"/>
          <w:szCs w:val="24"/>
          <w:lang w:val="id-ID"/>
        </w:rPr>
      </w:pPr>
      <w:r w:rsidRPr="00C14CDB">
        <w:rPr>
          <w:rFonts w:ascii="Arial" w:hAnsi="Arial" w:cs="Arial"/>
          <w:sz w:val="24"/>
          <w:szCs w:val="24"/>
        </w:rPr>
        <w:t xml:space="preserve">Diagnosis dan penatalaksanaan perdarahan </w:t>
      </w:r>
      <w:r w:rsidR="00AB39F3" w:rsidRPr="00C14CDB">
        <w:rPr>
          <w:rFonts w:ascii="Arial" w:hAnsi="Arial" w:cs="Arial"/>
          <w:sz w:val="24"/>
          <w:szCs w:val="24"/>
        </w:rPr>
        <w:t>gusi</w:t>
      </w:r>
      <w:r w:rsidRPr="00C14CDB">
        <w:rPr>
          <w:rFonts w:ascii="Arial" w:hAnsi="Arial" w:cs="Arial"/>
          <w:sz w:val="24"/>
          <w:szCs w:val="24"/>
        </w:rPr>
        <w:t xml:space="preserve"> terkadang membingungkan dan memerlukan pendekatan tim medis yang sistematis. </w:t>
      </w:r>
      <w:r w:rsidR="00080FE6" w:rsidRPr="00C14CDB">
        <w:rPr>
          <w:rFonts w:ascii="Arial" w:hAnsi="Arial" w:cs="Arial"/>
          <w:sz w:val="24"/>
          <w:szCs w:val="24"/>
        </w:rPr>
        <w:t>Terapi kompres dan kumur asam traneksamat dapat menjadi pilihan perawatan yang sangat efektif untuk menghentikan pendarahan gusi pada pasien pansitopenia, disampin</w:t>
      </w:r>
      <w:bookmarkStart w:id="2" w:name="_GoBack"/>
      <w:bookmarkEnd w:id="2"/>
      <w:r w:rsidR="00080FE6" w:rsidRPr="00C14CDB">
        <w:rPr>
          <w:rFonts w:ascii="Arial" w:hAnsi="Arial" w:cs="Arial"/>
          <w:sz w:val="24"/>
          <w:szCs w:val="24"/>
        </w:rPr>
        <w:t>g terapi tranfusi darah yang dilakukan untuk mengembalikan kadar normal komponen dalam darah</w:t>
      </w:r>
      <w:r w:rsidR="00080FE6" w:rsidRPr="00C14CDB">
        <w:rPr>
          <w:rFonts w:ascii="Arial" w:hAnsi="Arial" w:cs="Arial"/>
          <w:sz w:val="24"/>
          <w:szCs w:val="24"/>
          <w:lang w:val="id-ID"/>
        </w:rPr>
        <w:t xml:space="preserve">. </w:t>
      </w:r>
    </w:p>
    <w:p w14:paraId="67BAF676" w14:textId="7F360D79" w:rsidR="00DC2F98" w:rsidRPr="00C14CDB" w:rsidRDefault="00DC2F98" w:rsidP="00080FE6">
      <w:pPr>
        <w:spacing w:before="240" w:after="0" w:line="360" w:lineRule="auto"/>
        <w:ind w:firstLine="720"/>
        <w:jc w:val="both"/>
        <w:rPr>
          <w:rFonts w:ascii="Arial" w:hAnsi="Arial" w:cs="Arial"/>
          <w:b/>
          <w:sz w:val="24"/>
          <w:szCs w:val="24"/>
        </w:rPr>
      </w:pPr>
      <w:r w:rsidRPr="00C14CDB">
        <w:rPr>
          <w:rFonts w:ascii="Arial" w:hAnsi="Arial" w:cs="Arial"/>
          <w:b/>
          <w:sz w:val="24"/>
          <w:szCs w:val="24"/>
        </w:rPr>
        <w:t>Daftar Pustaka</w:t>
      </w:r>
    </w:p>
    <w:bookmarkStart w:id="3" w:name="OLE_LINK1"/>
    <w:bookmarkStart w:id="4" w:name="OLE_LINK2"/>
    <w:p w14:paraId="0A8E0AD3" w14:textId="0B8FCE32" w:rsidR="00083F26" w:rsidRPr="00C14CDB" w:rsidRDefault="00DC2F98"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b/>
          <w:sz w:val="24"/>
          <w:szCs w:val="24"/>
        </w:rPr>
        <w:fldChar w:fldCharType="begin" w:fldLock="1"/>
      </w:r>
      <w:r w:rsidRPr="00C14CDB">
        <w:rPr>
          <w:rFonts w:ascii="Arial" w:hAnsi="Arial" w:cs="Arial"/>
          <w:b/>
          <w:sz w:val="24"/>
          <w:szCs w:val="24"/>
        </w:rPr>
        <w:instrText xml:space="preserve">ADDIN Mendeley Bibliography CSL_BIBLIOGRAPHY </w:instrText>
      </w:r>
      <w:r w:rsidRPr="00C14CDB">
        <w:rPr>
          <w:rFonts w:ascii="Arial" w:hAnsi="Arial" w:cs="Arial"/>
          <w:b/>
          <w:sz w:val="24"/>
          <w:szCs w:val="24"/>
        </w:rPr>
        <w:fldChar w:fldCharType="separate"/>
      </w:r>
      <w:r w:rsidR="00083F26" w:rsidRPr="00C14CDB">
        <w:rPr>
          <w:rFonts w:ascii="Arial" w:hAnsi="Arial" w:cs="Arial"/>
          <w:noProof/>
          <w:sz w:val="24"/>
          <w:szCs w:val="24"/>
        </w:rPr>
        <w:t xml:space="preserve">1. </w:t>
      </w:r>
      <w:r w:rsidR="00083F26" w:rsidRPr="00C14CDB">
        <w:rPr>
          <w:rFonts w:ascii="Arial" w:hAnsi="Arial" w:cs="Arial"/>
          <w:noProof/>
          <w:sz w:val="24"/>
          <w:szCs w:val="24"/>
        </w:rPr>
        <w:tab/>
        <w:t xml:space="preserve">Makheja K Das, Maheshwari BK, Arain S, Kumar S, Kumari S, Vikash. The common causes leading to </w:t>
      </w:r>
      <w:r w:rsidR="0090709A" w:rsidRPr="00C14CDB">
        <w:rPr>
          <w:rFonts w:ascii="Arial" w:hAnsi="Arial" w:cs="Arial"/>
          <w:noProof/>
          <w:sz w:val="24"/>
          <w:szCs w:val="24"/>
        </w:rPr>
        <w:t>Pansitopenia</w:t>
      </w:r>
      <w:r w:rsidR="00083F26" w:rsidRPr="00C14CDB">
        <w:rPr>
          <w:rFonts w:ascii="Arial" w:hAnsi="Arial" w:cs="Arial"/>
          <w:noProof/>
          <w:sz w:val="24"/>
          <w:szCs w:val="24"/>
        </w:rPr>
        <w:t xml:space="preserve"> in patients presenting to tertiary care hospital. Pakistan J Med Sci. 2013;29(5):1108–11. </w:t>
      </w:r>
    </w:p>
    <w:p w14:paraId="06420118" w14:textId="64B10E5D" w:rsidR="00083F26" w:rsidRDefault="00083F26" w:rsidP="005174E2">
      <w:pPr>
        <w:widowControl w:val="0"/>
        <w:autoSpaceDE w:val="0"/>
        <w:autoSpaceDN w:val="0"/>
        <w:adjustRightInd w:val="0"/>
        <w:spacing w:line="240" w:lineRule="auto"/>
        <w:ind w:left="640" w:hanging="640"/>
        <w:jc w:val="both"/>
        <w:rPr>
          <w:rFonts w:ascii="Arial" w:hAnsi="Arial" w:cs="Arial"/>
          <w:noProof/>
          <w:sz w:val="24"/>
          <w:szCs w:val="24"/>
          <w:lang w:val="id-ID"/>
        </w:rPr>
      </w:pPr>
      <w:r w:rsidRPr="00C14CDB">
        <w:rPr>
          <w:rFonts w:ascii="Arial" w:hAnsi="Arial" w:cs="Arial"/>
          <w:noProof/>
          <w:sz w:val="24"/>
          <w:szCs w:val="24"/>
        </w:rPr>
        <w:t xml:space="preserve">2. </w:t>
      </w:r>
      <w:r w:rsidRPr="00C14CDB">
        <w:rPr>
          <w:rFonts w:ascii="Arial" w:hAnsi="Arial" w:cs="Arial"/>
          <w:noProof/>
          <w:sz w:val="24"/>
          <w:szCs w:val="24"/>
        </w:rPr>
        <w:tab/>
        <w:t xml:space="preserve">Pathak R, Jha A, Sayami G. Evaluation of bone marrow in patients with </w:t>
      </w:r>
      <w:r w:rsidR="0090709A" w:rsidRPr="00C14CDB">
        <w:rPr>
          <w:rFonts w:ascii="Arial" w:hAnsi="Arial" w:cs="Arial"/>
          <w:noProof/>
          <w:sz w:val="24"/>
          <w:szCs w:val="24"/>
        </w:rPr>
        <w:t>Pansitopenia</w:t>
      </w:r>
      <w:r w:rsidRPr="00C14CDB">
        <w:rPr>
          <w:rFonts w:ascii="Arial" w:hAnsi="Arial" w:cs="Arial"/>
          <w:noProof/>
          <w:sz w:val="24"/>
          <w:szCs w:val="24"/>
        </w:rPr>
        <w:t xml:space="preserve">. J Pathol Nepal. 2012;2(4):265–71. </w:t>
      </w:r>
    </w:p>
    <w:p w14:paraId="2BAD8C3B" w14:textId="77777777" w:rsidR="0028266E" w:rsidRDefault="0028266E" w:rsidP="005174E2">
      <w:pPr>
        <w:widowControl w:val="0"/>
        <w:autoSpaceDE w:val="0"/>
        <w:autoSpaceDN w:val="0"/>
        <w:adjustRightInd w:val="0"/>
        <w:spacing w:line="240" w:lineRule="auto"/>
        <w:ind w:left="640" w:hanging="640"/>
        <w:jc w:val="both"/>
        <w:rPr>
          <w:rFonts w:ascii="Arial" w:hAnsi="Arial" w:cs="Arial"/>
          <w:noProof/>
          <w:sz w:val="24"/>
          <w:szCs w:val="24"/>
          <w:lang w:val="id-ID"/>
        </w:rPr>
      </w:pPr>
    </w:p>
    <w:p w14:paraId="3BE98A93" w14:textId="77777777" w:rsidR="0028266E" w:rsidRPr="0028266E" w:rsidRDefault="0028266E" w:rsidP="005174E2">
      <w:pPr>
        <w:widowControl w:val="0"/>
        <w:autoSpaceDE w:val="0"/>
        <w:autoSpaceDN w:val="0"/>
        <w:adjustRightInd w:val="0"/>
        <w:spacing w:line="240" w:lineRule="auto"/>
        <w:ind w:left="640" w:hanging="640"/>
        <w:jc w:val="both"/>
        <w:rPr>
          <w:rFonts w:ascii="Arial" w:hAnsi="Arial" w:cs="Arial"/>
          <w:noProof/>
          <w:sz w:val="24"/>
          <w:szCs w:val="24"/>
          <w:lang w:val="id-ID"/>
        </w:rPr>
      </w:pPr>
    </w:p>
    <w:p w14:paraId="26DDAE86" w14:textId="77777777" w:rsidR="0028266E" w:rsidRDefault="00083F26" w:rsidP="0028266E">
      <w:pPr>
        <w:widowControl w:val="0"/>
        <w:autoSpaceDE w:val="0"/>
        <w:autoSpaceDN w:val="0"/>
        <w:adjustRightInd w:val="0"/>
        <w:spacing w:line="240" w:lineRule="auto"/>
        <w:ind w:left="640" w:hanging="640"/>
        <w:jc w:val="both"/>
        <w:rPr>
          <w:rFonts w:ascii="Arial" w:hAnsi="Arial" w:cs="Arial"/>
          <w:noProof/>
          <w:sz w:val="24"/>
          <w:szCs w:val="24"/>
          <w:lang w:val="id-ID"/>
        </w:rPr>
      </w:pPr>
      <w:r w:rsidRPr="00C14CDB">
        <w:rPr>
          <w:rFonts w:ascii="Arial" w:hAnsi="Arial" w:cs="Arial"/>
          <w:noProof/>
          <w:sz w:val="24"/>
          <w:szCs w:val="24"/>
        </w:rPr>
        <w:lastRenderedPageBreak/>
        <w:t xml:space="preserve">3. </w:t>
      </w:r>
      <w:r w:rsidRPr="00C14CDB">
        <w:rPr>
          <w:rFonts w:ascii="Arial" w:hAnsi="Arial" w:cs="Arial"/>
          <w:noProof/>
          <w:sz w:val="24"/>
          <w:szCs w:val="24"/>
        </w:rPr>
        <w:tab/>
        <w:t xml:space="preserve">Rai A, Vaishali V, Naikmasur VG, Kumar A, Sattur A. Aplastic anemia presenting as bleeding of </w:t>
      </w:r>
      <w:r w:rsidR="00AB39F3" w:rsidRPr="00C14CDB">
        <w:rPr>
          <w:rFonts w:ascii="Arial" w:hAnsi="Arial" w:cs="Arial"/>
          <w:noProof/>
          <w:sz w:val="24"/>
          <w:szCs w:val="24"/>
        </w:rPr>
        <w:t>gusi</w:t>
      </w:r>
      <w:r w:rsidRPr="00C14CDB">
        <w:rPr>
          <w:rFonts w:ascii="Arial" w:hAnsi="Arial" w:cs="Arial"/>
          <w:noProof/>
          <w:sz w:val="24"/>
          <w:szCs w:val="24"/>
        </w:rPr>
        <w:t>: Case report and dental considerations. Saudi J Dent Res [Internet].</w:t>
      </w:r>
      <w:r w:rsidR="0028266E">
        <w:rPr>
          <w:rFonts w:ascii="Arial" w:hAnsi="Arial" w:cs="Arial"/>
          <w:noProof/>
          <w:sz w:val="24"/>
          <w:szCs w:val="24"/>
          <w:lang w:val="id-ID"/>
        </w:rPr>
        <w:t xml:space="preserve"> 2</w:t>
      </w:r>
      <w:r w:rsidRPr="00C14CDB">
        <w:rPr>
          <w:rFonts w:ascii="Arial" w:hAnsi="Arial" w:cs="Arial"/>
          <w:noProof/>
          <w:sz w:val="24"/>
          <w:szCs w:val="24"/>
        </w:rPr>
        <w:t>016</w:t>
      </w:r>
      <w:r w:rsidR="0028266E">
        <w:rPr>
          <w:rFonts w:ascii="Arial" w:hAnsi="Arial" w:cs="Arial"/>
          <w:noProof/>
          <w:sz w:val="24"/>
          <w:szCs w:val="24"/>
          <w:lang w:val="id-ID"/>
        </w:rPr>
        <w:t xml:space="preserve"> </w:t>
      </w:r>
      <w:r w:rsidRPr="00C14CDB">
        <w:rPr>
          <w:rFonts w:ascii="Arial" w:hAnsi="Arial" w:cs="Arial"/>
          <w:noProof/>
          <w:sz w:val="24"/>
          <w:szCs w:val="24"/>
        </w:rPr>
        <w:t xml:space="preserve">;7(1):69–72. Available </w:t>
      </w:r>
    </w:p>
    <w:p w14:paraId="2D30B14A" w14:textId="55683C98" w:rsidR="00083F26" w:rsidRPr="0028266E" w:rsidRDefault="0028266E" w:rsidP="0028266E">
      <w:pPr>
        <w:widowControl w:val="0"/>
        <w:autoSpaceDE w:val="0"/>
        <w:autoSpaceDN w:val="0"/>
        <w:adjustRightInd w:val="0"/>
        <w:spacing w:line="240" w:lineRule="auto"/>
        <w:ind w:left="640" w:hanging="640"/>
        <w:jc w:val="both"/>
        <w:rPr>
          <w:rFonts w:ascii="Arial" w:hAnsi="Arial" w:cs="Arial"/>
          <w:noProof/>
          <w:sz w:val="24"/>
          <w:szCs w:val="24"/>
          <w:lang w:val="id-ID"/>
        </w:rPr>
      </w:pPr>
      <w:r>
        <w:rPr>
          <w:rFonts w:ascii="Arial" w:hAnsi="Arial" w:cs="Arial"/>
          <w:noProof/>
          <w:sz w:val="24"/>
          <w:szCs w:val="24"/>
          <w:lang w:val="id-ID"/>
        </w:rPr>
        <w:t xml:space="preserve">         </w:t>
      </w:r>
      <w:r w:rsidR="00083F26" w:rsidRPr="00C14CDB">
        <w:rPr>
          <w:rFonts w:ascii="Arial" w:hAnsi="Arial" w:cs="Arial"/>
          <w:noProof/>
          <w:sz w:val="24"/>
          <w:szCs w:val="24"/>
        </w:rPr>
        <w:t xml:space="preserve">from: </w:t>
      </w:r>
      <w:r>
        <w:rPr>
          <w:rFonts w:ascii="Arial" w:hAnsi="Arial" w:cs="Arial"/>
          <w:noProof/>
          <w:sz w:val="24"/>
          <w:szCs w:val="24"/>
          <w:lang w:val="id-ID"/>
        </w:rPr>
        <w:t xml:space="preserve"> </w:t>
      </w:r>
      <w:r w:rsidR="00083F26" w:rsidRPr="00C14CDB">
        <w:rPr>
          <w:rFonts w:ascii="Arial" w:hAnsi="Arial" w:cs="Arial"/>
          <w:noProof/>
          <w:sz w:val="24"/>
          <w:szCs w:val="24"/>
        </w:rPr>
        <w:t>http://dx.doi.org/10.1016/j.sjdr.2015.04.004</w:t>
      </w:r>
    </w:p>
    <w:p w14:paraId="400E26DE" w14:textId="2AE996EE"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4. </w:t>
      </w:r>
      <w:r w:rsidRPr="00C14CDB">
        <w:rPr>
          <w:rFonts w:ascii="Arial" w:hAnsi="Arial" w:cs="Arial"/>
          <w:noProof/>
          <w:sz w:val="24"/>
          <w:szCs w:val="24"/>
        </w:rPr>
        <w:tab/>
        <w:t xml:space="preserve">Venkat RD, Bharani SA. Clinico-haematological profile and etiology of bi / </w:t>
      </w:r>
      <w:r w:rsidR="0090709A" w:rsidRPr="00C14CDB">
        <w:rPr>
          <w:rFonts w:ascii="Arial" w:hAnsi="Arial" w:cs="Arial"/>
          <w:noProof/>
          <w:sz w:val="24"/>
          <w:szCs w:val="24"/>
        </w:rPr>
        <w:t>Pansitopenia</w:t>
      </w:r>
      <w:r w:rsidRPr="00C14CDB">
        <w:rPr>
          <w:rFonts w:ascii="Arial" w:hAnsi="Arial" w:cs="Arial"/>
          <w:noProof/>
          <w:sz w:val="24"/>
          <w:szCs w:val="24"/>
        </w:rPr>
        <w:t xml:space="preserve"> in children aged six months to eighteen years. 2021;8(4):732–9. </w:t>
      </w:r>
    </w:p>
    <w:p w14:paraId="79F5FB52" w14:textId="3C13B110"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5. </w:t>
      </w:r>
      <w:r w:rsidRPr="00C14CDB">
        <w:rPr>
          <w:rFonts w:ascii="Arial" w:hAnsi="Arial" w:cs="Arial"/>
          <w:noProof/>
          <w:sz w:val="24"/>
          <w:szCs w:val="24"/>
        </w:rPr>
        <w:tab/>
        <w:t xml:space="preserve">Rathod GB, Alwani M, Patel H, Jain A. Clinico-hematological analysis of </w:t>
      </w:r>
      <w:r w:rsidR="0090709A" w:rsidRPr="00C14CDB">
        <w:rPr>
          <w:rFonts w:ascii="Arial" w:hAnsi="Arial" w:cs="Arial"/>
          <w:noProof/>
          <w:sz w:val="24"/>
          <w:szCs w:val="24"/>
        </w:rPr>
        <w:t>Pansitopenia</w:t>
      </w:r>
      <w:r w:rsidRPr="00C14CDB">
        <w:rPr>
          <w:rFonts w:ascii="Arial" w:hAnsi="Arial" w:cs="Arial"/>
          <w:noProof/>
          <w:sz w:val="24"/>
          <w:szCs w:val="24"/>
        </w:rPr>
        <w:t xml:space="preserve"> in Pediatric patients of tertiary care hospital. Int Arch Integr Med. 2015;2(11):15–9. </w:t>
      </w:r>
    </w:p>
    <w:p w14:paraId="6CB76F79" w14:textId="75CE041D"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6. </w:t>
      </w:r>
      <w:r w:rsidRPr="00C14CDB">
        <w:rPr>
          <w:rFonts w:ascii="Arial" w:hAnsi="Arial" w:cs="Arial"/>
          <w:noProof/>
          <w:sz w:val="24"/>
          <w:szCs w:val="24"/>
        </w:rPr>
        <w:tab/>
        <w:t xml:space="preserve">Rahman AA, Ekram AS, Hossain MS, Saha JK, Rahman F, Kamruzzaman M, et al. Aetiology and Clinical Presentation of </w:t>
      </w:r>
      <w:r w:rsidR="0090709A" w:rsidRPr="00C14CDB">
        <w:rPr>
          <w:rFonts w:ascii="Arial" w:hAnsi="Arial" w:cs="Arial"/>
          <w:noProof/>
          <w:sz w:val="24"/>
          <w:szCs w:val="24"/>
        </w:rPr>
        <w:t>Pansitopenia</w:t>
      </w:r>
      <w:r w:rsidRPr="00C14CDB">
        <w:rPr>
          <w:rFonts w:ascii="Arial" w:hAnsi="Arial" w:cs="Arial"/>
          <w:noProof/>
          <w:sz w:val="24"/>
          <w:szCs w:val="24"/>
        </w:rPr>
        <w:t xml:space="preserve"> in a Teaching Hospital. Faridpur Med Coll J. 2019;13(2):62–5. </w:t>
      </w:r>
    </w:p>
    <w:p w14:paraId="543C6A5E" w14:textId="4B61BA5C"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7. </w:t>
      </w:r>
      <w:r w:rsidRPr="00C14CDB">
        <w:rPr>
          <w:rFonts w:ascii="Arial" w:hAnsi="Arial" w:cs="Arial"/>
          <w:noProof/>
          <w:sz w:val="24"/>
          <w:szCs w:val="24"/>
        </w:rPr>
        <w:tab/>
        <w:t xml:space="preserve">Rajes E, Mangai TA, Babu NA, Malathi L. </w:t>
      </w:r>
      <w:r w:rsidR="00AB39F3" w:rsidRPr="00C14CDB">
        <w:rPr>
          <w:rFonts w:ascii="Arial" w:hAnsi="Arial" w:cs="Arial"/>
          <w:noProof/>
          <w:sz w:val="24"/>
          <w:szCs w:val="24"/>
        </w:rPr>
        <w:t>Gusi</w:t>
      </w:r>
      <w:r w:rsidRPr="00C14CDB">
        <w:rPr>
          <w:rFonts w:ascii="Arial" w:hAnsi="Arial" w:cs="Arial"/>
          <w:noProof/>
          <w:sz w:val="24"/>
          <w:szCs w:val="24"/>
        </w:rPr>
        <w:t xml:space="preserve">l bleeding - Systemic causes. Eur J Mol Clin Med. 2020;7(5):1472–6. </w:t>
      </w:r>
    </w:p>
    <w:p w14:paraId="2CC98A44" w14:textId="047337F9"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8. </w:t>
      </w:r>
      <w:r w:rsidRPr="00C14CDB">
        <w:rPr>
          <w:rFonts w:ascii="Arial" w:hAnsi="Arial" w:cs="Arial"/>
          <w:noProof/>
          <w:sz w:val="24"/>
          <w:szCs w:val="24"/>
        </w:rPr>
        <w:tab/>
        <w:t xml:space="preserve">Bondon-Guitton E, Mourgues T, Rousseau V, Cousty S, Cottin J, Drablier G, et al. </w:t>
      </w:r>
      <w:r w:rsidR="00AB39F3" w:rsidRPr="00C14CDB">
        <w:rPr>
          <w:rFonts w:ascii="Arial" w:hAnsi="Arial" w:cs="Arial"/>
          <w:noProof/>
          <w:sz w:val="24"/>
          <w:szCs w:val="24"/>
        </w:rPr>
        <w:t>Gusi</w:t>
      </w:r>
      <w:r w:rsidRPr="00C14CDB">
        <w:rPr>
          <w:rFonts w:ascii="Arial" w:hAnsi="Arial" w:cs="Arial"/>
          <w:noProof/>
          <w:sz w:val="24"/>
          <w:szCs w:val="24"/>
        </w:rPr>
        <w:t xml:space="preserve">l bleeding, a possible “serious” adverse drug reaction: An observational study in the French PharmacoVigilance Database. J Clin Periodontol. 2017;44(9):898–904. </w:t>
      </w:r>
    </w:p>
    <w:p w14:paraId="4ACA1EAE" w14:textId="44F8B3F4"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9. </w:t>
      </w:r>
      <w:r w:rsidRPr="00C14CDB">
        <w:rPr>
          <w:rFonts w:ascii="Arial" w:hAnsi="Arial" w:cs="Arial"/>
          <w:noProof/>
          <w:sz w:val="24"/>
          <w:szCs w:val="24"/>
        </w:rPr>
        <w:tab/>
        <w:t xml:space="preserve">Padayachee S, Holmes H, Dreyer WP. </w:t>
      </w:r>
      <w:r w:rsidR="003E5CBE" w:rsidRPr="00C14CDB">
        <w:rPr>
          <w:rFonts w:ascii="Arial" w:hAnsi="Arial" w:cs="Arial"/>
          <w:noProof/>
          <w:sz w:val="24"/>
          <w:szCs w:val="24"/>
        </w:rPr>
        <w:t>Rongga mulut</w:t>
      </w:r>
      <w:r w:rsidRPr="00C14CDB">
        <w:rPr>
          <w:rFonts w:ascii="Arial" w:hAnsi="Arial" w:cs="Arial"/>
          <w:noProof/>
          <w:sz w:val="24"/>
          <w:szCs w:val="24"/>
        </w:rPr>
        <w:t xml:space="preserve"> medicine case book 56: </w:t>
      </w:r>
      <w:r w:rsidR="003E5CBE" w:rsidRPr="00C14CDB">
        <w:rPr>
          <w:rFonts w:ascii="Arial" w:hAnsi="Arial" w:cs="Arial"/>
          <w:noProof/>
          <w:sz w:val="24"/>
          <w:szCs w:val="24"/>
        </w:rPr>
        <w:t>Rongga mulut</w:t>
      </w:r>
      <w:r w:rsidRPr="00C14CDB">
        <w:rPr>
          <w:rFonts w:ascii="Arial" w:hAnsi="Arial" w:cs="Arial"/>
          <w:noProof/>
          <w:sz w:val="24"/>
          <w:szCs w:val="24"/>
        </w:rPr>
        <w:t xml:space="preserve"> manifestations of aplastic anaemia. SADJ. 2014;69(1):26–7. </w:t>
      </w:r>
    </w:p>
    <w:p w14:paraId="4707DA18" w14:textId="421DD0E1"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10. </w:t>
      </w:r>
      <w:r w:rsidRPr="00C14CDB">
        <w:rPr>
          <w:rFonts w:ascii="Arial" w:hAnsi="Arial" w:cs="Arial"/>
          <w:noProof/>
          <w:sz w:val="24"/>
          <w:szCs w:val="24"/>
        </w:rPr>
        <w:tab/>
        <w:t xml:space="preserve">Khan S, Zia A, Gupta ND, Bey A. Acute </w:t>
      </w:r>
      <w:r w:rsidR="00AB39F3" w:rsidRPr="00C14CDB">
        <w:rPr>
          <w:rFonts w:ascii="Arial" w:hAnsi="Arial" w:cs="Arial"/>
          <w:noProof/>
          <w:sz w:val="24"/>
          <w:szCs w:val="24"/>
        </w:rPr>
        <w:t>gusi</w:t>
      </w:r>
      <w:r w:rsidRPr="00C14CDB">
        <w:rPr>
          <w:rFonts w:ascii="Arial" w:hAnsi="Arial" w:cs="Arial"/>
          <w:noProof/>
          <w:sz w:val="24"/>
          <w:szCs w:val="24"/>
        </w:rPr>
        <w:t xml:space="preserve">l bleeding as a complication of falciparum malaria: A case report. </w:t>
      </w:r>
      <w:r w:rsidR="003E5CBE" w:rsidRPr="00C14CDB">
        <w:rPr>
          <w:rFonts w:ascii="Arial" w:hAnsi="Arial" w:cs="Arial"/>
          <w:noProof/>
          <w:sz w:val="24"/>
          <w:szCs w:val="24"/>
        </w:rPr>
        <w:t>Rongga mulut</w:t>
      </w:r>
      <w:r w:rsidRPr="00C14CDB">
        <w:rPr>
          <w:rFonts w:ascii="Arial" w:hAnsi="Arial" w:cs="Arial"/>
          <w:noProof/>
          <w:sz w:val="24"/>
          <w:szCs w:val="24"/>
        </w:rPr>
        <w:t xml:space="preserve"> Surg </w:t>
      </w:r>
      <w:r w:rsidR="003E5CBE" w:rsidRPr="00C14CDB">
        <w:rPr>
          <w:rFonts w:ascii="Arial" w:hAnsi="Arial" w:cs="Arial"/>
          <w:noProof/>
          <w:sz w:val="24"/>
          <w:szCs w:val="24"/>
        </w:rPr>
        <w:t>Rongga mulut</w:t>
      </w:r>
      <w:r w:rsidRPr="00C14CDB">
        <w:rPr>
          <w:rFonts w:ascii="Arial" w:hAnsi="Arial" w:cs="Arial"/>
          <w:noProof/>
          <w:sz w:val="24"/>
          <w:szCs w:val="24"/>
        </w:rPr>
        <w:t xml:space="preserve"> Med </w:t>
      </w:r>
      <w:r w:rsidR="003E5CBE" w:rsidRPr="00C14CDB">
        <w:rPr>
          <w:rFonts w:ascii="Arial" w:hAnsi="Arial" w:cs="Arial"/>
          <w:noProof/>
          <w:sz w:val="24"/>
          <w:szCs w:val="24"/>
        </w:rPr>
        <w:t>Rongga mulut</w:t>
      </w:r>
      <w:r w:rsidRPr="00C14CDB">
        <w:rPr>
          <w:rFonts w:ascii="Arial" w:hAnsi="Arial" w:cs="Arial"/>
          <w:noProof/>
          <w:sz w:val="24"/>
          <w:szCs w:val="24"/>
        </w:rPr>
        <w:t xml:space="preserve"> Pathol </w:t>
      </w:r>
      <w:r w:rsidR="003E5CBE" w:rsidRPr="00C14CDB">
        <w:rPr>
          <w:rFonts w:ascii="Arial" w:hAnsi="Arial" w:cs="Arial"/>
          <w:noProof/>
          <w:sz w:val="24"/>
          <w:szCs w:val="24"/>
        </w:rPr>
        <w:t>Rongga mulut</w:t>
      </w:r>
      <w:r w:rsidRPr="00C14CDB">
        <w:rPr>
          <w:rFonts w:ascii="Arial" w:hAnsi="Arial" w:cs="Arial"/>
          <w:noProof/>
          <w:sz w:val="24"/>
          <w:szCs w:val="24"/>
        </w:rPr>
        <w:t xml:space="preserve"> Radiol. 2012;113(5):e19–22. </w:t>
      </w:r>
    </w:p>
    <w:p w14:paraId="13469F3E" w14:textId="17C53A34"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11. </w:t>
      </w:r>
      <w:r w:rsidRPr="00C14CDB">
        <w:rPr>
          <w:rFonts w:ascii="Arial" w:hAnsi="Arial" w:cs="Arial"/>
          <w:noProof/>
          <w:sz w:val="24"/>
          <w:szCs w:val="24"/>
        </w:rPr>
        <w:tab/>
        <w:t xml:space="preserve">Varma A, Lokwani P, Malukani K, Gupta S, Maheshwari P. Study of hematological profile of adults presenting with </w:t>
      </w:r>
      <w:r w:rsidR="0090709A" w:rsidRPr="00C14CDB">
        <w:rPr>
          <w:rFonts w:ascii="Arial" w:hAnsi="Arial" w:cs="Arial"/>
          <w:noProof/>
          <w:sz w:val="24"/>
          <w:szCs w:val="24"/>
        </w:rPr>
        <w:t>Pansitopenia</w:t>
      </w:r>
      <w:r w:rsidRPr="00C14CDB">
        <w:rPr>
          <w:rFonts w:ascii="Arial" w:hAnsi="Arial" w:cs="Arial"/>
          <w:noProof/>
          <w:sz w:val="24"/>
          <w:szCs w:val="24"/>
        </w:rPr>
        <w:t xml:space="preserve"> in a tertiary care hospital of central India. Med J Dr DY Patil Vidyapeeth. 2018;11(6):512. </w:t>
      </w:r>
    </w:p>
    <w:p w14:paraId="1757BCCE" w14:textId="6FFFF9A9"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12. </w:t>
      </w:r>
      <w:r w:rsidRPr="00C14CDB">
        <w:rPr>
          <w:rFonts w:ascii="Arial" w:hAnsi="Arial" w:cs="Arial"/>
          <w:noProof/>
          <w:sz w:val="24"/>
          <w:szCs w:val="24"/>
        </w:rPr>
        <w:tab/>
        <w:t xml:space="preserve">Umoh AO, Osagie Akhionbare. Idiopathic thrombocytopenic purpura presenting as </w:t>
      </w:r>
      <w:r w:rsidR="00AB39F3" w:rsidRPr="00C14CDB">
        <w:rPr>
          <w:rFonts w:ascii="Arial" w:hAnsi="Arial" w:cs="Arial"/>
          <w:noProof/>
          <w:sz w:val="24"/>
          <w:szCs w:val="24"/>
        </w:rPr>
        <w:t>gusi</w:t>
      </w:r>
      <w:r w:rsidRPr="00C14CDB">
        <w:rPr>
          <w:rFonts w:ascii="Arial" w:hAnsi="Arial" w:cs="Arial"/>
          <w:noProof/>
          <w:sz w:val="24"/>
          <w:szCs w:val="24"/>
        </w:rPr>
        <w:t xml:space="preserve">l bleeding in a Periodontal Clinic in Benin City, Nigeria. Niger J Dent Res. 2016;1(1&amp;2):50–2. </w:t>
      </w:r>
    </w:p>
    <w:p w14:paraId="1BF2F5EB" w14:textId="77777777"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13. </w:t>
      </w:r>
      <w:r w:rsidRPr="00C14CDB">
        <w:rPr>
          <w:rFonts w:ascii="Arial" w:hAnsi="Arial" w:cs="Arial"/>
          <w:noProof/>
          <w:sz w:val="24"/>
          <w:szCs w:val="24"/>
        </w:rPr>
        <w:tab/>
        <w:t xml:space="preserve">Hunt BJ. The current place of tranexamic acid in the management of bleeding. Anaesthesia. 2015;70:e18-53. </w:t>
      </w:r>
    </w:p>
    <w:p w14:paraId="52D0EBFF" w14:textId="77777777"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14. </w:t>
      </w:r>
      <w:r w:rsidRPr="00C14CDB">
        <w:rPr>
          <w:rFonts w:ascii="Arial" w:hAnsi="Arial" w:cs="Arial"/>
          <w:noProof/>
          <w:sz w:val="24"/>
          <w:szCs w:val="24"/>
        </w:rPr>
        <w:tab/>
        <w:t xml:space="preserve">Lee JE, Lee JM, Lee Y, Park JW, Suh JY, Um HS, et al. The antiplaque and bleeding control effects of a cetylpyridinium chloride and tranexamic acid mouth rinse in patients with gingivitis. J Periodontal Implant Sci. 2017;47(3):134–42. </w:t>
      </w:r>
    </w:p>
    <w:p w14:paraId="33FA753F" w14:textId="77777777"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15. </w:t>
      </w:r>
      <w:r w:rsidRPr="00C14CDB">
        <w:rPr>
          <w:rFonts w:ascii="Arial" w:hAnsi="Arial" w:cs="Arial"/>
          <w:noProof/>
          <w:sz w:val="24"/>
          <w:szCs w:val="24"/>
        </w:rPr>
        <w:tab/>
        <w:t xml:space="preserve">Bageorgou F, Vasalou V, Tzanetakou V, Kontochristopoulos G. The new therapeutic choice of tranexamic acid solution in treatment of erythematotelangiectatic rosacea. J Cosmet Dermatol. 2019;18(2):563–7. </w:t>
      </w:r>
    </w:p>
    <w:p w14:paraId="2A70C309" w14:textId="77777777"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16. </w:t>
      </w:r>
      <w:r w:rsidRPr="00C14CDB">
        <w:rPr>
          <w:rFonts w:ascii="Arial" w:hAnsi="Arial" w:cs="Arial"/>
          <w:noProof/>
          <w:sz w:val="24"/>
          <w:szCs w:val="24"/>
        </w:rPr>
        <w:tab/>
        <w:t xml:space="preserve">Ng W, Jerath A, Wasowicz M. Tranexamic acid: A clinical review. Anaesthesiol </w:t>
      </w:r>
      <w:r w:rsidRPr="00C14CDB">
        <w:rPr>
          <w:rFonts w:ascii="Arial" w:hAnsi="Arial" w:cs="Arial"/>
          <w:noProof/>
          <w:sz w:val="24"/>
          <w:szCs w:val="24"/>
        </w:rPr>
        <w:lastRenderedPageBreak/>
        <w:t xml:space="preserve">Intensive Ther. 2015;47(4):339–50. </w:t>
      </w:r>
    </w:p>
    <w:p w14:paraId="42F6FF3E" w14:textId="77777777"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17. </w:t>
      </w:r>
      <w:r w:rsidRPr="00C14CDB">
        <w:rPr>
          <w:rFonts w:ascii="Arial" w:hAnsi="Arial" w:cs="Arial"/>
          <w:noProof/>
          <w:sz w:val="24"/>
          <w:szCs w:val="24"/>
        </w:rPr>
        <w:tab/>
        <w:t xml:space="preserve">Mayer B, Salama A. Successful treatment of bleeding with tranexamic acid in a series of 12 patients with immune thrombocytopenia. Vox Sang. 2017;112(8):767–72. </w:t>
      </w:r>
    </w:p>
    <w:p w14:paraId="18AAD899" w14:textId="77777777"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18. </w:t>
      </w:r>
      <w:r w:rsidRPr="00C14CDB">
        <w:rPr>
          <w:rFonts w:ascii="Arial" w:hAnsi="Arial" w:cs="Arial"/>
          <w:noProof/>
          <w:sz w:val="24"/>
          <w:szCs w:val="24"/>
        </w:rPr>
        <w:tab/>
        <w:t xml:space="preserve">Gadre A, Stoller JK. Tranexamic Acid for Hemoptysis: A review. Clin Pulm Med. 2017;24(2):69–74. </w:t>
      </w:r>
    </w:p>
    <w:p w14:paraId="6D442EB6" w14:textId="77777777"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19. </w:t>
      </w:r>
      <w:r w:rsidRPr="00C14CDB">
        <w:rPr>
          <w:rFonts w:ascii="Arial" w:hAnsi="Arial" w:cs="Arial"/>
          <w:noProof/>
          <w:sz w:val="24"/>
          <w:szCs w:val="24"/>
        </w:rPr>
        <w:tab/>
        <w:t xml:space="preserve">Lin ZX, Woolf SK. Safety, efficacy, and cost-effectiveness of tranexamic acid in orthopedic surgery. Orthopedics. 2016;39(2):119–30. </w:t>
      </w:r>
    </w:p>
    <w:p w14:paraId="6BC0E0BE" w14:textId="77777777"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szCs w:val="24"/>
        </w:rPr>
      </w:pPr>
      <w:r w:rsidRPr="00C14CDB">
        <w:rPr>
          <w:rFonts w:ascii="Arial" w:hAnsi="Arial" w:cs="Arial"/>
          <w:noProof/>
          <w:sz w:val="24"/>
          <w:szCs w:val="24"/>
        </w:rPr>
        <w:t xml:space="preserve">20. </w:t>
      </w:r>
      <w:r w:rsidRPr="00C14CDB">
        <w:rPr>
          <w:rFonts w:ascii="Arial" w:hAnsi="Arial" w:cs="Arial"/>
          <w:noProof/>
          <w:sz w:val="24"/>
          <w:szCs w:val="24"/>
        </w:rPr>
        <w:tab/>
        <w:t xml:space="preserve">Tang YMJ, Chapman TWL, Brooks P. Use of tranexamic acid to reduce bleeding in burns surgery. J Plast Reconstr Aesthetic Surg. 2012;65(5):684–6. </w:t>
      </w:r>
    </w:p>
    <w:p w14:paraId="617AD720" w14:textId="77777777" w:rsidR="00083F26" w:rsidRPr="00C14CDB" w:rsidRDefault="00083F26" w:rsidP="005174E2">
      <w:pPr>
        <w:widowControl w:val="0"/>
        <w:autoSpaceDE w:val="0"/>
        <w:autoSpaceDN w:val="0"/>
        <w:adjustRightInd w:val="0"/>
        <w:spacing w:line="240" w:lineRule="auto"/>
        <w:ind w:left="640" w:hanging="640"/>
        <w:jc w:val="both"/>
        <w:rPr>
          <w:rFonts w:ascii="Arial" w:hAnsi="Arial" w:cs="Arial"/>
          <w:noProof/>
          <w:sz w:val="24"/>
        </w:rPr>
      </w:pPr>
      <w:r w:rsidRPr="00C14CDB">
        <w:rPr>
          <w:rFonts w:ascii="Arial" w:hAnsi="Arial" w:cs="Arial"/>
          <w:noProof/>
          <w:sz w:val="24"/>
          <w:szCs w:val="24"/>
        </w:rPr>
        <w:t xml:space="preserve">21. </w:t>
      </w:r>
      <w:r w:rsidRPr="00C14CDB">
        <w:rPr>
          <w:rFonts w:ascii="Arial" w:hAnsi="Arial" w:cs="Arial"/>
          <w:noProof/>
          <w:sz w:val="24"/>
          <w:szCs w:val="24"/>
        </w:rPr>
        <w:tab/>
        <w:t xml:space="preserve">Montroy J, Hutton B, Moodley P, Fergusson NA, Cheng W, Tinmouth A, et al. The efficacy and safety of topical tranexamic acid: A systematic review and meta-analysis. Transfus Med Rev. 2018;32(3):165–78. </w:t>
      </w:r>
    </w:p>
    <w:p w14:paraId="409BDB70" w14:textId="77777777" w:rsidR="00A03402" w:rsidRPr="00C14CDB" w:rsidRDefault="00DC2F98" w:rsidP="005174E2">
      <w:pPr>
        <w:widowControl w:val="0"/>
        <w:autoSpaceDE w:val="0"/>
        <w:autoSpaceDN w:val="0"/>
        <w:adjustRightInd w:val="0"/>
        <w:spacing w:line="240" w:lineRule="auto"/>
        <w:ind w:left="640" w:hanging="640"/>
        <w:jc w:val="both"/>
        <w:rPr>
          <w:rFonts w:ascii="Arial" w:hAnsi="Arial" w:cs="Arial"/>
          <w:sz w:val="24"/>
          <w:szCs w:val="24"/>
        </w:rPr>
      </w:pPr>
      <w:r w:rsidRPr="00C14CDB">
        <w:rPr>
          <w:rFonts w:ascii="Arial" w:hAnsi="Arial" w:cs="Arial"/>
          <w:b/>
          <w:sz w:val="24"/>
          <w:szCs w:val="24"/>
        </w:rPr>
        <w:fldChar w:fldCharType="end"/>
      </w:r>
      <w:bookmarkEnd w:id="3"/>
      <w:bookmarkEnd w:id="4"/>
    </w:p>
    <w:sectPr w:rsidR="00A03402" w:rsidRPr="00C14C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402"/>
    <w:rsid w:val="00011658"/>
    <w:rsid w:val="000741F7"/>
    <w:rsid w:val="00080FE6"/>
    <w:rsid w:val="00083F26"/>
    <w:rsid w:val="000A4A2D"/>
    <w:rsid w:val="000D171D"/>
    <w:rsid w:val="00127AC8"/>
    <w:rsid w:val="00173A35"/>
    <w:rsid w:val="001E2A55"/>
    <w:rsid w:val="00200970"/>
    <w:rsid w:val="00231562"/>
    <w:rsid w:val="00280FAC"/>
    <w:rsid w:val="0028266E"/>
    <w:rsid w:val="00296080"/>
    <w:rsid w:val="002B5531"/>
    <w:rsid w:val="002F5214"/>
    <w:rsid w:val="0036502D"/>
    <w:rsid w:val="003A2642"/>
    <w:rsid w:val="003D1F40"/>
    <w:rsid w:val="003E5CBE"/>
    <w:rsid w:val="003F774E"/>
    <w:rsid w:val="004570A1"/>
    <w:rsid w:val="004A5136"/>
    <w:rsid w:val="004D4225"/>
    <w:rsid w:val="005018D7"/>
    <w:rsid w:val="005174E2"/>
    <w:rsid w:val="00551E84"/>
    <w:rsid w:val="00564443"/>
    <w:rsid w:val="005A062C"/>
    <w:rsid w:val="005A6527"/>
    <w:rsid w:val="005A6F06"/>
    <w:rsid w:val="005B6F0E"/>
    <w:rsid w:val="00632FB3"/>
    <w:rsid w:val="00636E61"/>
    <w:rsid w:val="00660C57"/>
    <w:rsid w:val="006F2DFC"/>
    <w:rsid w:val="00775101"/>
    <w:rsid w:val="007F78FB"/>
    <w:rsid w:val="008149A9"/>
    <w:rsid w:val="008A51C5"/>
    <w:rsid w:val="008B21F2"/>
    <w:rsid w:val="008C4A4D"/>
    <w:rsid w:val="008E7B09"/>
    <w:rsid w:val="0090709A"/>
    <w:rsid w:val="00916631"/>
    <w:rsid w:val="00944F34"/>
    <w:rsid w:val="009537E2"/>
    <w:rsid w:val="00980BF1"/>
    <w:rsid w:val="009E18FC"/>
    <w:rsid w:val="00A03402"/>
    <w:rsid w:val="00A1174E"/>
    <w:rsid w:val="00A44D5F"/>
    <w:rsid w:val="00A65076"/>
    <w:rsid w:val="00A706CD"/>
    <w:rsid w:val="00AB39F3"/>
    <w:rsid w:val="00AC1A2D"/>
    <w:rsid w:val="00AD3F1C"/>
    <w:rsid w:val="00B42178"/>
    <w:rsid w:val="00B65D73"/>
    <w:rsid w:val="00BB7E74"/>
    <w:rsid w:val="00BC2DC5"/>
    <w:rsid w:val="00BD3770"/>
    <w:rsid w:val="00BD4CD8"/>
    <w:rsid w:val="00C13654"/>
    <w:rsid w:val="00C14CDB"/>
    <w:rsid w:val="00C40BD6"/>
    <w:rsid w:val="00C752CF"/>
    <w:rsid w:val="00C766A5"/>
    <w:rsid w:val="00CB05AA"/>
    <w:rsid w:val="00D1433B"/>
    <w:rsid w:val="00D219C3"/>
    <w:rsid w:val="00D46C80"/>
    <w:rsid w:val="00D6520E"/>
    <w:rsid w:val="00D722C0"/>
    <w:rsid w:val="00DC2F98"/>
    <w:rsid w:val="00DD3045"/>
    <w:rsid w:val="00E07C20"/>
    <w:rsid w:val="00E178B1"/>
    <w:rsid w:val="00E31F54"/>
    <w:rsid w:val="00EC3E68"/>
    <w:rsid w:val="00F077CB"/>
    <w:rsid w:val="00F11FEC"/>
    <w:rsid w:val="00F81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3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1Light-Accent31">
    <w:name w:val="List Table 1 Light - Accent 31"/>
    <w:basedOn w:val="TableNormal"/>
    <w:uiPriority w:val="46"/>
    <w:rsid w:val="00DC2F9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DC2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F98"/>
    <w:rPr>
      <w:rFonts w:ascii="Tahoma" w:hAnsi="Tahoma" w:cs="Tahoma"/>
      <w:sz w:val="16"/>
      <w:szCs w:val="16"/>
    </w:rPr>
  </w:style>
  <w:style w:type="character" w:styleId="Hyperlink">
    <w:name w:val="Hyperlink"/>
    <w:basedOn w:val="DefaultParagraphFont"/>
    <w:uiPriority w:val="99"/>
    <w:unhideWhenUsed/>
    <w:rsid w:val="00C14CD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1Light-Accent31">
    <w:name w:val="List Table 1 Light - Accent 31"/>
    <w:basedOn w:val="TableNormal"/>
    <w:uiPriority w:val="46"/>
    <w:rsid w:val="00DC2F9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DC2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F98"/>
    <w:rPr>
      <w:rFonts w:ascii="Tahoma" w:hAnsi="Tahoma" w:cs="Tahoma"/>
      <w:sz w:val="16"/>
      <w:szCs w:val="16"/>
    </w:rPr>
  </w:style>
  <w:style w:type="character" w:styleId="Hyperlink">
    <w:name w:val="Hyperlink"/>
    <w:basedOn w:val="DefaultParagraphFont"/>
    <w:uiPriority w:val="99"/>
    <w:unhideWhenUsed/>
    <w:rsid w:val="00C14C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rgdrakel@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rgdrakel@gmail.com"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1F672-3874-40BC-96B1-0587F598C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12</Pages>
  <Words>17380</Words>
  <Characters>99070</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PutraSara</dc:creator>
  <cp:lastModifiedBy>USER</cp:lastModifiedBy>
  <cp:revision>8</cp:revision>
  <cp:lastPrinted>2021-04-16T04:17:00Z</cp:lastPrinted>
  <dcterms:created xsi:type="dcterms:W3CDTF">2021-05-17T04:59:00Z</dcterms:created>
  <dcterms:modified xsi:type="dcterms:W3CDTF">2021-05-29T07:36:00Z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aa7a4b2b-3cc4-3bb9-9f30-42061fb93f77</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