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FA" w:rsidRPr="00A64865" w:rsidRDefault="00733147" w:rsidP="00676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865">
        <w:rPr>
          <w:rFonts w:ascii="Times New Roman" w:hAnsi="Times New Roman" w:cs="Times New Roman"/>
          <w:sz w:val="24"/>
          <w:szCs w:val="24"/>
        </w:rPr>
        <w:t xml:space="preserve">Pengaruh Minyak Cengkeh dan Jenis Kemasan Terhadap Mutu Benih Dua Kultivar Kacang Hijau </w:t>
      </w:r>
      <w:proofErr w:type="gramStart"/>
      <w:r w:rsidRPr="00A64865">
        <w:rPr>
          <w:rFonts w:ascii="Times New Roman" w:hAnsi="Times New Roman" w:cs="Times New Roman"/>
          <w:sz w:val="24"/>
          <w:szCs w:val="24"/>
        </w:rPr>
        <w:t>( Vigna</w:t>
      </w:r>
      <w:proofErr w:type="gramEnd"/>
      <w:r w:rsidRPr="00A64865">
        <w:rPr>
          <w:rFonts w:ascii="Times New Roman" w:hAnsi="Times New Roman" w:cs="Times New Roman"/>
          <w:sz w:val="24"/>
          <w:szCs w:val="24"/>
        </w:rPr>
        <w:t xml:space="preserve"> radiate (L.) R. </w:t>
      </w:r>
      <w:proofErr w:type="gramStart"/>
      <w:r w:rsidRPr="00A64865">
        <w:rPr>
          <w:rFonts w:ascii="Times New Roman" w:hAnsi="Times New Roman" w:cs="Times New Roman"/>
          <w:sz w:val="24"/>
          <w:szCs w:val="24"/>
        </w:rPr>
        <w:t>Wilczek )</w:t>
      </w:r>
      <w:proofErr w:type="gramEnd"/>
      <w:r w:rsidRPr="00A64865">
        <w:rPr>
          <w:rFonts w:ascii="Times New Roman" w:hAnsi="Times New Roman" w:cs="Times New Roman"/>
          <w:sz w:val="24"/>
          <w:szCs w:val="24"/>
        </w:rPr>
        <w:t xml:space="preserve"> Setelah Periode Simpan</w:t>
      </w:r>
    </w:p>
    <w:p w:rsidR="00733147" w:rsidRPr="00A64865" w:rsidRDefault="00733147" w:rsidP="007331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33147" w:rsidRPr="00A64865" w:rsidRDefault="00733147" w:rsidP="007331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64865">
        <w:rPr>
          <w:rFonts w:ascii="Times New Roman" w:hAnsi="Times New Roman" w:cs="Times New Roman"/>
          <w:sz w:val="24"/>
          <w:szCs w:val="24"/>
        </w:rPr>
        <w:t>Oleh :</w:t>
      </w:r>
      <w:proofErr w:type="gramEnd"/>
      <w:r w:rsidRPr="00A64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147" w:rsidRPr="00A64865" w:rsidRDefault="00733147" w:rsidP="007331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64865">
        <w:rPr>
          <w:rFonts w:ascii="Times New Roman" w:hAnsi="Times New Roman" w:cs="Times New Roman"/>
          <w:sz w:val="24"/>
          <w:szCs w:val="24"/>
        </w:rPr>
        <w:t>Sumadi</w:t>
      </w:r>
      <w:r w:rsidRPr="00A6486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6486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64865">
        <w:rPr>
          <w:rFonts w:ascii="Times New Roman" w:hAnsi="Times New Roman" w:cs="Times New Roman"/>
          <w:sz w:val="24"/>
          <w:szCs w:val="24"/>
        </w:rPr>
        <w:t>A.Nuraini</w:t>
      </w:r>
      <w:r w:rsidRPr="00A6486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6486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64865">
        <w:rPr>
          <w:rFonts w:ascii="Times New Roman" w:hAnsi="Times New Roman" w:cs="Times New Roman"/>
          <w:sz w:val="24"/>
          <w:szCs w:val="24"/>
        </w:rPr>
        <w:t xml:space="preserve"> E.Suminar</w:t>
      </w:r>
      <w:r w:rsidRPr="00A6486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64865">
        <w:rPr>
          <w:rFonts w:ascii="Times New Roman" w:hAnsi="Times New Roman" w:cs="Times New Roman"/>
          <w:sz w:val="24"/>
          <w:szCs w:val="24"/>
        </w:rPr>
        <w:t>, S.S. Rubaekah</w:t>
      </w:r>
      <w:r w:rsidRPr="00A648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4865">
        <w:rPr>
          <w:rFonts w:ascii="Times New Roman" w:hAnsi="Times New Roman" w:cs="Times New Roman"/>
          <w:sz w:val="24"/>
          <w:szCs w:val="24"/>
        </w:rPr>
        <w:t xml:space="preserve"> dan M. Alvianto</w:t>
      </w:r>
      <w:r w:rsidRPr="00A6486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33147" w:rsidRPr="00A64865" w:rsidRDefault="00733147" w:rsidP="007331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6486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64865">
        <w:rPr>
          <w:rFonts w:ascii="Times New Roman" w:hAnsi="Times New Roman" w:cs="Times New Roman"/>
          <w:sz w:val="24"/>
          <w:szCs w:val="24"/>
        </w:rPr>
        <w:t xml:space="preserve"> Dosen Departemen Budidaya Pertanian, Faperta Unpad</w:t>
      </w:r>
    </w:p>
    <w:p w:rsidR="00733147" w:rsidRPr="00A64865" w:rsidRDefault="00733147" w:rsidP="007331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648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4865">
        <w:rPr>
          <w:rFonts w:ascii="Times New Roman" w:hAnsi="Times New Roman" w:cs="Times New Roman"/>
          <w:sz w:val="24"/>
          <w:szCs w:val="24"/>
        </w:rPr>
        <w:t xml:space="preserve"> Alumni minat Teknologi Benih, Program Studi Agroteknologi</w:t>
      </w:r>
      <w:r w:rsidR="00A64865" w:rsidRPr="00A64865">
        <w:rPr>
          <w:rFonts w:ascii="Times New Roman" w:hAnsi="Times New Roman" w:cs="Times New Roman"/>
          <w:sz w:val="24"/>
          <w:szCs w:val="24"/>
        </w:rPr>
        <w:t>, Faperta Unpad</w:t>
      </w:r>
    </w:p>
    <w:p w:rsidR="00A64865" w:rsidRPr="00A64865" w:rsidRDefault="000B48D1" w:rsidP="007331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64865" w:rsidRPr="00A64865">
          <w:rPr>
            <w:rStyle w:val="Hyperlink"/>
            <w:rFonts w:ascii="Times New Roman" w:hAnsi="Times New Roman" w:cs="Times New Roman"/>
            <w:sz w:val="24"/>
            <w:szCs w:val="24"/>
          </w:rPr>
          <w:t>sumadi@unpad.ac.id</w:t>
        </w:r>
      </w:hyperlink>
      <w:r w:rsidR="00A64865" w:rsidRPr="00A64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865" w:rsidRPr="00A64865" w:rsidRDefault="00A64865" w:rsidP="007331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64865" w:rsidRPr="00A64865" w:rsidRDefault="00A64865" w:rsidP="00A648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865" w:rsidRDefault="00A64865" w:rsidP="00A648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865" w:rsidRDefault="00A64865" w:rsidP="00A648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Penyimpanan benih merupakan salah satu upaya menjaga mutu benih sampai benih siap ditanam</w:t>
      </w:r>
      <w:r w:rsidR="008140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40AE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aktor</w:t>
      </w:r>
      <w:r w:rsidR="008140AE">
        <w:rPr>
          <w:rFonts w:ascii="Times New Roman" w:hAnsi="Times New Roman" w:cs="Times New Roman"/>
          <w:sz w:val="24"/>
          <w:szCs w:val="24"/>
        </w:rPr>
        <w:t>-faktor</w:t>
      </w:r>
      <w:r>
        <w:rPr>
          <w:rFonts w:ascii="Times New Roman" w:hAnsi="Times New Roman" w:cs="Times New Roman"/>
          <w:sz w:val="24"/>
          <w:szCs w:val="24"/>
        </w:rPr>
        <w:t xml:space="preserve"> yang mempengaruhi mutu benih setelah per</w:t>
      </w:r>
      <w:r w:rsidR="008140AE">
        <w:rPr>
          <w:rFonts w:ascii="Times New Roman" w:hAnsi="Times New Roman" w:cs="Times New Roman"/>
          <w:sz w:val="24"/>
          <w:szCs w:val="24"/>
        </w:rPr>
        <w:t xml:space="preserve">iode simpan, antara lain </w:t>
      </w:r>
      <w:r>
        <w:rPr>
          <w:rFonts w:ascii="Times New Roman" w:hAnsi="Times New Roman" w:cs="Times New Roman"/>
          <w:sz w:val="24"/>
          <w:szCs w:val="24"/>
        </w:rPr>
        <w:t xml:space="preserve">serangan </w:t>
      </w:r>
      <w:proofErr w:type="gramStart"/>
      <w:r>
        <w:rPr>
          <w:rFonts w:ascii="Times New Roman" w:hAnsi="Times New Roman" w:cs="Times New Roman"/>
          <w:sz w:val="24"/>
          <w:szCs w:val="24"/>
        </w:rPr>
        <w:t>hama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gudang, jenis kemasan dan ka</w:t>
      </w:r>
      <w:r w:rsidR="008140A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akteristik benih tiap kultivar. </w:t>
      </w:r>
      <w:proofErr w:type="gramStart"/>
      <w:r>
        <w:rPr>
          <w:rFonts w:ascii="Times New Roman" w:hAnsi="Times New Roman" w:cs="Times New Roman"/>
          <w:sz w:val="24"/>
          <w:szCs w:val="24"/>
        </w:rPr>
        <w:t>Tujuan penelitian adalah menentukan kombinasi dosis minyak cengkeh, jenis kemasan dan kultivar kacang hijau.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Penenelitain  terdiri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dari dua seri percobaan, mengkaji kefektifan kombinasi dosis minyak cengkeh dengan kultivar serta mengkaji kombinasi jenis kemasan dengan kultivar. </w:t>
      </w:r>
      <w:proofErr w:type="gramStart"/>
      <w:r>
        <w:rPr>
          <w:rFonts w:ascii="Times New Roman" w:hAnsi="Times New Roman" w:cs="Times New Roman"/>
          <w:sz w:val="24"/>
          <w:szCs w:val="24"/>
        </w:rPr>
        <w:t>Masing-masing dilaksanakan pada bulan Januari – April serta April – Juni 2017.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Percobaan pertama men</w:t>
      </w:r>
      <w:r w:rsidR="00FE125E">
        <w:rPr>
          <w:rFonts w:ascii="Times New Roman" w:hAnsi="Times New Roman" w:cs="Times New Roman"/>
          <w:sz w:val="24"/>
          <w:szCs w:val="24"/>
        </w:rPr>
        <w:t>gkaji pengaruh kombinasi antara dosis minyak cengkeh ( 0.0 ml kg</w:t>
      </w:r>
      <w:r w:rsidR="00FE125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E125E">
        <w:rPr>
          <w:rFonts w:ascii="Times New Roman" w:hAnsi="Times New Roman" w:cs="Times New Roman"/>
          <w:sz w:val="24"/>
          <w:szCs w:val="24"/>
        </w:rPr>
        <w:t>, 0.5 ml kg</w:t>
      </w:r>
      <w:r w:rsidR="00FE125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E125E">
        <w:rPr>
          <w:rFonts w:ascii="Times New Roman" w:hAnsi="Times New Roman" w:cs="Times New Roman"/>
          <w:sz w:val="24"/>
          <w:szCs w:val="24"/>
        </w:rPr>
        <w:t>, 1.0 ml k</w:t>
      </w:r>
      <w:r w:rsidR="00FE125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E125E">
        <w:rPr>
          <w:rFonts w:ascii="Times New Roman" w:hAnsi="Times New Roman" w:cs="Times New Roman"/>
          <w:sz w:val="24"/>
          <w:szCs w:val="24"/>
        </w:rPr>
        <w:t>, 1.5 ml kg</w:t>
      </w:r>
      <w:r w:rsidR="00FE125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E125E">
        <w:rPr>
          <w:rFonts w:ascii="Times New Roman" w:hAnsi="Times New Roman" w:cs="Times New Roman"/>
          <w:sz w:val="24"/>
          <w:szCs w:val="24"/>
        </w:rPr>
        <w:t xml:space="preserve"> dan 2.0 ml kg</w:t>
      </w:r>
      <w:r w:rsidR="00FE125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E125E">
        <w:rPr>
          <w:rFonts w:ascii="Times New Roman" w:hAnsi="Times New Roman" w:cs="Times New Roman"/>
          <w:sz w:val="24"/>
          <w:szCs w:val="24"/>
        </w:rPr>
        <w:t>) dengan kultivar ( Vima-1 dan Vi</w:t>
      </w:r>
      <w:r w:rsidR="008140AE">
        <w:rPr>
          <w:rFonts w:ascii="Times New Roman" w:hAnsi="Times New Roman" w:cs="Times New Roman"/>
          <w:sz w:val="24"/>
          <w:szCs w:val="24"/>
        </w:rPr>
        <w:t xml:space="preserve">ma-2) </w:t>
      </w:r>
      <w:r w:rsidR="00FE125E">
        <w:rPr>
          <w:rFonts w:ascii="Times New Roman" w:hAnsi="Times New Roman" w:cs="Times New Roman"/>
          <w:sz w:val="24"/>
          <w:szCs w:val="24"/>
        </w:rPr>
        <w:t>.Selanjutnya percobaan ke dua mengkaji macam jenis kemasan ( kantong terigu, Aluminium Foil, kantong kertas, kantong plastic, dan botok kaca) dengan jeni</w:t>
      </w:r>
      <w:r w:rsidR="008140AE">
        <w:rPr>
          <w:rFonts w:ascii="Times New Roman" w:hAnsi="Times New Roman" w:cs="Times New Roman"/>
          <w:sz w:val="24"/>
          <w:szCs w:val="24"/>
        </w:rPr>
        <w:t xml:space="preserve">s kultivar (Vima-1 dan Vima-2).Mutu benih  diuji setelah periode simpan masing-masing tiga bulan dan enam bulan. Hasil percobaan </w:t>
      </w:r>
      <w:r w:rsidR="00404B0D">
        <w:rPr>
          <w:rFonts w:ascii="Times New Roman" w:hAnsi="Times New Roman" w:cs="Times New Roman"/>
          <w:sz w:val="24"/>
          <w:szCs w:val="24"/>
        </w:rPr>
        <w:t xml:space="preserve">pertama  </w:t>
      </w:r>
      <w:r w:rsidR="008140AE">
        <w:rPr>
          <w:rFonts w:ascii="Times New Roman" w:hAnsi="Times New Roman" w:cs="Times New Roman"/>
          <w:sz w:val="24"/>
          <w:szCs w:val="24"/>
        </w:rPr>
        <w:t xml:space="preserve">menunjukkan bahwa </w:t>
      </w:r>
      <w:r w:rsidR="00404B0D">
        <w:rPr>
          <w:rFonts w:ascii="Times New Roman" w:hAnsi="Times New Roman" w:cs="Times New Roman"/>
          <w:sz w:val="24"/>
          <w:szCs w:val="24"/>
        </w:rPr>
        <w:t xml:space="preserve"> </w:t>
      </w:r>
      <w:r w:rsidR="008140AE">
        <w:rPr>
          <w:rFonts w:ascii="Times New Roman" w:hAnsi="Times New Roman" w:cs="Times New Roman"/>
          <w:sz w:val="24"/>
          <w:szCs w:val="24"/>
        </w:rPr>
        <w:t xml:space="preserve">pemberian minyak cengkeh tidak berpengaruh nyata terhadap  populasi </w:t>
      </w:r>
      <w:r w:rsidR="008140AE" w:rsidRPr="008140AE">
        <w:rPr>
          <w:rFonts w:ascii="Times New Roman" w:hAnsi="Times New Roman" w:cs="Times New Roman"/>
          <w:i/>
          <w:sz w:val="24"/>
          <w:szCs w:val="24"/>
        </w:rPr>
        <w:t>Callosobrochu</w:t>
      </w:r>
      <w:r w:rsidR="008140AE">
        <w:rPr>
          <w:rFonts w:ascii="Times New Roman" w:hAnsi="Times New Roman" w:cs="Times New Roman"/>
          <w:sz w:val="24"/>
          <w:szCs w:val="24"/>
        </w:rPr>
        <w:t xml:space="preserve">s sp pada penyimpanan benih tiga bulan berkisar antara 10.00 – 25.67 ekor, </w:t>
      </w:r>
      <w:r w:rsidR="00404B0D">
        <w:rPr>
          <w:rFonts w:ascii="Times New Roman" w:hAnsi="Times New Roman" w:cs="Times New Roman"/>
          <w:sz w:val="24"/>
          <w:szCs w:val="24"/>
        </w:rPr>
        <w:t xml:space="preserve">persentase benih ruksak, bobot 100 butir dan daya berkecambah. </w:t>
      </w:r>
      <w:proofErr w:type="gramStart"/>
      <w:r w:rsidR="00404B0D">
        <w:rPr>
          <w:rFonts w:ascii="Times New Roman" w:hAnsi="Times New Roman" w:cs="Times New Roman"/>
          <w:sz w:val="24"/>
          <w:szCs w:val="24"/>
        </w:rPr>
        <w:t>Secara umum kultivar Vima-3 yang dikombinasaikan dengan dosis minyak cengkah mutunya lebih baik dibandingkan benih kultivar Vima-1.</w:t>
      </w:r>
      <w:proofErr w:type="gramEnd"/>
      <w:r w:rsidR="00404B0D">
        <w:rPr>
          <w:rFonts w:ascii="Times New Roman" w:hAnsi="Times New Roman" w:cs="Times New Roman"/>
          <w:sz w:val="24"/>
          <w:szCs w:val="24"/>
        </w:rPr>
        <w:t xml:space="preserve"> </w:t>
      </w:r>
      <w:r w:rsidR="008140AE">
        <w:rPr>
          <w:rFonts w:ascii="Times New Roman" w:hAnsi="Times New Roman" w:cs="Times New Roman"/>
          <w:sz w:val="24"/>
          <w:szCs w:val="24"/>
        </w:rPr>
        <w:t xml:space="preserve">  </w:t>
      </w:r>
      <w:r w:rsidR="00404B0D">
        <w:rPr>
          <w:rFonts w:ascii="Times New Roman" w:hAnsi="Times New Roman" w:cs="Times New Roman"/>
          <w:sz w:val="24"/>
          <w:szCs w:val="24"/>
        </w:rPr>
        <w:t xml:space="preserve">Hasil percobaan kedua menununjukkan bahwa jenis kemasan amplop kertas dan karung terigu tidak mampu memepertahankan daya berkecambah dan </w:t>
      </w:r>
      <w:proofErr w:type="gramStart"/>
      <w:r w:rsidR="00404B0D">
        <w:rPr>
          <w:rFonts w:ascii="Times New Roman" w:hAnsi="Times New Roman" w:cs="Times New Roman"/>
          <w:sz w:val="24"/>
          <w:szCs w:val="24"/>
        </w:rPr>
        <w:t>vigor  kedua</w:t>
      </w:r>
      <w:proofErr w:type="gramEnd"/>
      <w:r w:rsidR="00404B0D">
        <w:rPr>
          <w:rFonts w:ascii="Times New Roman" w:hAnsi="Times New Roman" w:cs="Times New Roman"/>
          <w:sz w:val="24"/>
          <w:szCs w:val="24"/>
        </w:rPr>
        <w:t xml:space="preserve"> kultivar ≥ 80 % dari standar. Kemasan aluminum foil, plastic seal dan botol kaca mampu mempertahankan mutu benih kedua kultivar setelah periode simpan enam bulan. </w:t>
      </w:r>
    </w:p>
    <w:p w:rsidR="00404B0D" w:rsidRDefault="00404B0D" w:rsidP="00A648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4B0D" w:rsidRDefault="00404B0D" w:rsidP="00A648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gramStart"/>
      <w:r>
        <w:rPr>
          <w:rFonts w:ascii="Times New Roman" w:hAnsi="Times New Roman" w:cs="Times New Roman"/>
          <w:sz w:val="24"/>
          <w:szCs w:val="24"/>
        </w:rPr>
        <w:t>kunci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Minyak cengkeh, Jenis kemasan, kultivar kacang hijau, penyimpanan</w:t>
      </w:r>
    </w:p>
    <w:p w:rsidR="00225975" w:rsidRDefault="00225975" w:rsidP="00A648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7B6" w:rsidRDefault="00CA77B6" w:rsidP="00CA77B6">
      <w:pPr>
        <w:pStyle w:val="NoSpacing"/>
        <w:ind w:left="1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975" w:rsidRDefault="00225975" w:rsidP="00CA77B6">
      <w:pPr>
        <w:pStyle w:val="NoSpacing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975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225975" w:rsidRPr="00225975" w:rsidRDefault="00225975" w:rsidP="00225975">
      <w:pPr>
        <w:pStyle w:val="NoSpacing"/>
        <w:ind w:left="1282"/>
        <w:rPr>
          <w:rFonts w:ascii="Times New Roman" w:hAnsi="Times New Roman" w:cs="Times New Roman"/>
          <w:b/>
          <w:sz w:val="24"/>
          <w:szCs w:val="24"/>
        </w:rPr>
      </w:pPr>
    </w:p>
    <w:p w:rsidR="00225975" w:rsidRDefault="00225975" w:rsidP="002259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25975">
        <w:rPr>
          <w:rFonts w:ascii="Times New Roman" w:hAnsi="Times New Roman" w:cs="Times New Roman"/>
          <w:sz w:val="24"/>
          <w:szCs w:val="24"/>
        </w:rPr>
        <w:t>Kacang hijau merupakan salah satu komoditas aneka kacang yang memiliki berbagai keunggulan dibandingkan komoditas lainnya.</w:t>
      </w:r>
      <w:proofErr w:type="gramEnd"/>
      <w:r w:rsidRPr="002259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975">
        <w:rPr>
          <w:rFonts w:ascii="Times New Roman" w:hAnsi="Times New Roman" w:cs="Times New Roman"/>
          <w:sz w:val="24"/>
          <w:szCs w:val="24"/>
        </w:rPr>
        <w:t>Harga jual kacang hijau relatif stabil dan lebih tinggi dibanding kedelai yang sering berfluktuasi</w:t>
      </w:r>
      <w:r w:rsidR="00BA10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10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840">
        <w:rPr>
          <w:rFonts w:ascii="Times New Roman" w:hAnsi="Times New Roman" w:cs="Times New Roman"/>
          <w:sz w:val="24"/>
          <w:szCs w:val="24"/>
        </w:rPr>
        <w:t xml:space="preserve">Masalah yang dihadapi dalam pengembanagan budidaya kacang hijau sebagaimana pada tanaman kedelai adalah </w:t>
      </w:r>
      <w:r w:rsidR="00EB5840">
        <w:rPr>
          <w:rFonts w:ascii="Times New Roman" w:hAnsi="Times New Roman" w:cs="Times New Roman"/>
          <w:sz w:val="24"/>
          <w:szCs w:val="24"/>
        </w:rPr>
        <w:lastRenderedPageBreak/>
        <w:t>tersedianya benih bermutu tinggi pada saat musim tanam.</w:t>
      </w:r>
      <w:proofErr w:type="gramEnd"/>
      <w:r w:rsidR="00EB58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840">
        <w:rPr>
          <w:rFonts w:ascii="Times New Roman" w:hAnsi="Times New Roman" w:cs="Times New Roman"/>
          <w:sz w:val="24"/>
          <w:szCs w:val="24"/>
        </w:rPr>
        <w:t>Benih yang tersedia harus memenuhi standar minimal benih bermutu tinggi.</w:t>
      </w:r>
      <w:proofErr w:type="gramEnd"/>
      <w:r w:rsidR="00EB5840">
        <w:rPr>
          <w:rFonts w:ascii="Times New Roman" w:hAnsi="Times New Roman" w:cs="Times New Roman"/>
          <w:sz w:val="24"/>
          <w:szCs w:val="24"/>
        </w:rPr>
        <w:t xml:space="preserve"> Untuk mengatasi masalah tersebut adalah diperlukan teknik penyimpanan benih yang baik, sehingga mutu benih yang dicerminkan oleh viabilitas dan vigor tetap tinggi saat </w:t>
      </w:r>
      <w:proofErr w:type="gramStart"/>
      <w:r w:rsidR="00EB5840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EB5840">
        <w:rPr>
          <w:rFonts w:ascii="Times New Roman" w:hAnsi="Times New Roman" w:cs="Times New Roman"/>
          <w:sz w:val="24"/>
          <w:szCs w:val="24"/>
        </w:rPr>
        <w:t xml:space="preserve"> ditanam. </w:t>
      </w:r>
    </w:p>
    <w:p w:rsidR="00EB5840" w:rsidRDefault="00EB5840" w:rsidP="002259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Kendala yang dihadapi benih aneka kacang selama periode simpan adalah relative lebih cepat mengalami deteriorasi.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Deteriorasi benih kacang hijau akibat komposisi kimianya relative lebih baik dibandingkan dengan benih kedelai, karena ukuran benih lebih kecil.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Percobaan yang dilakukan Sumadi dkk </w:t>
      </w:r>
      <w:proofErr w:type="gramStart"/>
      <w:r>
        <w:rPr>
          <w:rFonts w:ascii="Times New Roman" w:hAnsi="Times New Roman" w:cs="Times New Roman"/>
          <w:sz w:val="24"/>
          <w:szCs w:val="24"/>
        </w:rPr>
        <w:t>( 2010</w:t>
      </w:r>
      <w:proofErr w:type="gramEnd"/>
      <w:r>
        <w:rPr>
          <w:rFonts w:ascii="Times New Roman" w:hAnsi="Times New Roman" w:cs="Times New Roman"/>
          <w:sz w:val="24"/>
          <w:szCs w:val="24"/>
        </w:rPr>
        <w:t>) menunjukkan bahwa kultivar  benih kedelai yang berukan lebih kecil mempunyai daya simpan yang lebih baik dibandingkan dengan benih berukuran besar</w:t>
      </w:r>
      <w:r w:rsidR="003D49B0">
        <w:rPr>
          <w:rFonts w:ascii="Times New Roman" w:hAnsi="Times New Roman" w:cs="Times New Roman"/>
          <w:sz w:val="24"/>
          <w:szCs w:val="24"/>
        </w:rPr>
        <w:t xml:space="preserve">. Percepatan laju detriorasi benih kacang hijau lebih diakibatkan serangan </w:t>
      </w:r>
      <w:proofErr w:type="gramStart"/>
      <w:r w:rsidR="003D49B0">
        <w:rPr>
          <w:rFonts w:ascii="Times New Roman" w:hAnsi="Times New Roman" w:cs="Times New Roman"/>
          <w:sz w:val="24"/>
          <w:szCs w:val="24"/>
        </w:rPr>
        <w:t>hama</w:t>
      </w:r>
      <w:proofErr w:type="gramEnd"/>
      <w:r w:rsidR="003D49B0">
        <w:rPr>
          <w:rFonts w:ascii="Times New Roman" w:hAnsi="Times New Roman" w:cs="Times New Roman"/>
          <w:sz w:val="24"/>
          <w:szCs w:val="24"/>
        </w:rPr>
        <w:t xml:space="preserve"> gudang </w:t>
      </w:r>
      <w:r w:rsidR="003D49B0" w:rsidRPr="003D49B0">
        <w:rPr>
          <w:rFonts w:ascii="Times New Roman" w:hAnsi="Times New Roman" w:cs="Times New Roman"/>
          <w:i/>
          <w:sz w:val="24"/>
          <w:szCs w:val="24"/>
        </w:rPr>
        <w:t>Callosobrochus sp</w:t>
      </w:r>
      <w:r w:rsidR="003D49B0">
        <w:rPr>
          <w:rFonts w:ascii="Times New Roman" w:hAnsi="Times New Roman" w:cs="Times New Roman"/>
          <w:sz w:val="24"/>
          <w:szCs w:val="24"/>
        </w:rPr>
        <w:t xml:space="preserve"> yang menyebabkan biji berlubang. Hama ini tergolong halam primer yang </w:t>
      </w:r>
      <w:proofErr w:type="gramStart"/>
      <w:r w:rsidR="003D49B0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3D49B0">
        <w:rPr>
          <w:rFonts w:ascii="Times New Roman" w:hAnsi="Times New Roman" w:cs="Times New Roman"/>
          <w:sz w:val="24"/>
          <w:szCs w:val="24"/>
        </w:rPr>
        <w:t xml:space="preserve"> memakan biji sampai habi</w:t>
      </w:r>
      <w:r w:rsidR="006666E8">
        <w:rPr>
          <w:rFonts w:ascii="Times New Roman" w:hAnsi="Times New Roman" w:cs="Times New Roman"/>
          <w:sz w:val="24"/>
          <w:szCs w:val="24"/>
        </w:rPr>
        <w:t>s</w:t>
      </w:r>
      <w:r w:rsidR="003D49B0">
        <w:rPr>
          <w:rFonts w:ascii="Times New Roman" w:hAnsi="Times New Roman" w:cs="Times New Roman"/>
          <w:sz w:val="24"/>
          <w:szCs w:val="24"/>
        </w:rPr>
        <w:t xml:space="preserve">. Perkembangbiakan kumbang ini sangat cepat, satu imago betina dapat bertelur sampai 50 - </w:t>
      </w:r>
      <w:r w:rsidR="006666E8">
        <w:rPr>
          <w:rFonts w:ascii="Times New Roman" w:hAnsi="Times New Roman" w:cs="Times New Roman"/>
          <w:sz w:val="24"/>
          <w:szCs w:val="24"/>
        </w:rPr>
        <w:t xml:space="preserve">150 butir </w:t>
      </w:r>
      <w:proofErr w:type="gramStart"/>
      <w:r w:rsidR="006666E8">
        <w:rPr>
          <w:rFonts w:ascii="Times New Roman" w:hAnsi="Times New Roman" w:cs="Times New Roman"/>
          <w:sz w:val="24"/>
          <w:szCs w:val="24"/>
        </w:rPr>
        <w:t>( Sudarmo</w:t>
      </w:r>
      <w:proofErr w:type="gramEnd"/>
      <w:r w:rsidR="006666E8">
        <w:rPr>
          <w:rFonts w:ascii="Times New Roman" w:hAnsi="Times New Roman" w:cs="Times New Roman"/>
          <w:sz w:val="24"/>
          <w:szCs w:val="24"/>
        </w:rPr>
        <w:t>, 1991 ;</w:t>
      </w:r>
      <w:r w:rsidR="003D49B0">
        <w:rPr>
          <w:rFonts w:ascii="Times New Roman" w:hAnsi="Times New Roman" w:cs="Times New Roman"/>
          <w:sz w:val="24"/>
          <w:szCs w:val="24"/>
        </w:rPr>
        <w:t xml:space="preserve"> Centre for Agriculture and Biosciences Internasional, 2016)</w:t>
      </w:r>
      <w:r w:rsidR="006666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66E8" w:rsidRDefault="006666E8" w:rsidP="002259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Perlindungan biji dari hama gudang dapat dilakukan dengan pestisida berupa perlakuan fumigasi </w:t>
      </w:r>
      <w:proofErr w:type="gramStart"/>
      <w:r>
        <w:rPr>
          <w:rFonts w:ascii="Times New Roman" w:hAnsi="Times New Roman" w:cs="Times New Roman"/>
          <w:sz w:val="24"/>
          <w:szCs w:val="24"/>
        </w:rPr>
        <w:t>atau  pelapisan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benih. </w:t>
      </w:r>
      <w:proofErr w:type="gramStart"/>
      <w:r>
        <w:rPr>
          <w:rFonts w:ascii="Times New Roman" w:hAnsi="Times New Roman" w:cs="Times New Roman"/>
          <w:sz w:val="24"/>
          <w:szCs w:val="24"/>
        </w:rPr>
        <w:t>Akan tetapi penggunaan pestisida sintetik yang berlebihan dapat mengakibatkan pencemaran lingkungan.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Penggunaan protektan nabati merupakan solusi untuk mempertahankan mutu benih selama penyimpanan.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Salah satu protektan nabati yang dapat digunakan adalah minyak cengkeh.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Percobaan Sumadi dkk ( 2007, 2010) membuktikan bahwa dosis 1ml kg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sampai 2 ml kg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benih mampu mempertahankan viabilitas dan vig</w:t>
      </w:r>
      <w:r w:rsidR="00CA77B6">
        <w:rPr>
          <w:rFonts w:ascii="Times New Roman" w:hAnsi="Times New Roman" w:cs="Times New Roman"/>
          <w:sz w:val="24"/>
          <w:szCs w:val="24"/>
        </w:rPr>
        <w:t>or benih jagung dan kedelai</w:t>
      </w:r>
      <w:r>
        <w:rPr>
          <w:rFonts w:ascii="Times New Roman" w:hAnsi="Times New Roman" w:cs="Times New Roman"/>
          <w:sz w:val="24"/>
          <w:szCs w:val="24"/>
        </w:rPr>
        <w:t xml:space="preserve"> setelah periode simpan tiga bulan. </w:t>
      </w:r>
      <w:r w:rsidR="00E16BFF">
        <w:rPr>
          <w:rFonts w:ascii="Times New Roman" w:hAnsi="Times New Roman" w:cs="Times New Roman"/>
          <w:sz w:val="24"/>
          <w:szCs w:val="24"/>
        </w:rPr>
        <w:t xml:space="preserve"> Dosis yang tepat untuk menjaga mutu benih adalah yang mampu mengendalikan </w:t>
      </w:r>
      <w:proofErr w:type="gramStart"/>
      <w:r w:rsidR="00E16BFF">
        <w:rPr>
          <w:rFonts w:ascii="Times New Roman" w:hAnsi="Times New Roman" w:cs="Times New Roman"/>
          <w:sz w:val="24"/>
          <w:szCs w:val="24"/>
        </w:rPr>
        <w:t>hama</w:t>
      </w:r>
      <w:proofErr w:type="gramEnd"/>
      <w:r w:rsidR="00E16BFF">
        <w:rPr>
          <w:rFonts w:ascii="Times New Roman" w:hAnsi="Times New Roman" w:cs="Times New Roman"/>
          <w:sz w:val="24"/>
          <w:szCs w:val="24"/>
        </w:rPr>
        <w:t xml:space="preserve"> gudang dan menjaga mutu benih tetap tinggi.</w:t>
      </w:r>
    </w:p>
    <w:p w:rsidR="00CA77B6" w:rsidRDefault="00CA77B6" w:rsidP="002259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Aspek penting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harus duperhatikan dalam penyimpnana benih adalah jenis kemasan. </w:t>
      </w:r>
      <w:proofErr w:type="gramStart"/>
      <w:r>
        <w:rPr>
          <w:rFonts w:ascii="Times New Roman" w:hAnsi="Times New Roman" w:cs="Times New Roman"/>
          <w:sz w:val="24"/>
          <w:szCs w:val="24"/>
        </w:rPr>
        <w:t>Kemasan yang baik untuk penyimpanan benih ortodok adalah kuat, kedap udara dan uap air, sehingga mampu menjaga viabilitas dan vigor benih selama penyimpanan.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Jenis yang sudah terbukti mampu menjaga mutu benih-benih sayuran adalah aluminium foil dan kaleng, sedangkan kemasan yang sudah biasa digunakan untuk benih palawija adalah ka</w:t>
      </w:r>
      <w:r w:rsidR="007904D8">
        <w:rPr>
          <w:rFonts w:ascii="Times New Roman" w:hAnsi="Times New Roman" w:cs="Times New Roman"/>
          <w:sz w:val="24"/>
          <w:szCs w:val="24"/>
        </w:rPr>
        <w:t xml:space="preserve">ntong plastic yang kedap udara </w:t>
      </w:r>
      <w:proofErr w:type="gramStart"/>
      <w:r w:rsidR="007904D8">
        <w:rPr>
          <w:rFonts w:ascii="Times New Roman" w:hAnsi="Times New Roman" w:cs="Times New Roman"/>
          <w:sz w:val="24"/>
          <w:szCs w:val="24"/>
        </w:rPr>
        <w:t>( Sumadi</w:t>
      </w:r>
      <w:proofErr w:type="gramEnd"/>
      <w:r w:rsidR="007904D8">
        <w:rPr>
          <w:rFonts w:ascii="Times New Roman" w:hAnsi="Times New Roman" w:cs="Times New Roman"/>
          <w:sz w:val="24"/>
          <w:szCs w:val="24"/>
        </w:rPr>
        <w:t xml:space="preserve">.,dkk, 2008 a : Sumadi., dkk, 2008 b ; Hastuti dkk.,2015). Selama periode simpan akan terjadi proses perubahan karakter kimia dan fisiologi </w:t>
      </w:r>
      <w:proofErr w:type="gramStart"/>
      <w:r w:rsidR="007904D8">
        <w:rPr>
          <w:rFonts w:ascii="Times New Roman" w:hAnsi="Times New Roman" w:cs="Times New Roman"/>
          <w:sz w:val="24"/>
          <w:szCs w:val="24"/>
        </w:rPr>
        <w:t>( Tatipata</w:t>
      </w:r>
      <w:proofErr w:type="gramEnd"/>
      <w:r w:rsidR="007904D8">
        <w:rPr>
          <w:rFonts w:ascii="Times New Roman" w:hAnsi="Times New Roman" w:cs="Times New Roman"/>
          <w:sz w:val="24"/>
          <w:szCs w:val="24"/>
        </w:rPr>
        <w:t>.,dkk, 2004).</w:t>
      </w:r>
    </w:p>
    <w:p w:rsidR="00CA77B6" w:rsidRDefault="00CA77B6" w:rsidP="002259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Dosis minyak cengkeh </w:t>
      </w:r>
      <w:r w:rsidR="00E16BFF">
        <w:rPr>
          <w:rFonts w:ascii="Times New Roman" w:hAnsi="Times New Roman" w:cs="Times New Roman"/>
          <w:sz w:val="24"/>
          <w:szCs w:val="24"/>
        </w:rPr>
        <w:t xml:space="preserve">dan jenis kemasan yang tepat </w:t>
      </w:r>
      <w:proofErr w:type="gramStart"/>
      <w:r w:rsidR="00E16BFF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E16BFF">
        <w:rPr>
          <w:rFonts w:ascii="Times New Roman" w:hAnsi="Times New Roman" w:cs="Times New Roman"/>
          <w:sz w:val="24"/>
          <w:szCs w:val="24"/>
        </w:rPr>
        <w:t xml:space="preserve"> mampu mengendalikan perkembangan hama </w:t>
      </w:r>
      <w:r w:rsidR="00E16BFF" w:rsidRPr="00E16BFF">
        <w:rPr>
          <w:rFonts w:ascii="Times New Roman" w:hAnsi="Times New Roman" w:cs="Times New Roman"/>
          <w:i/>
          <w:sz w:val="24"/>
          <w:szCs w:val="24"/>
        </w:rPr>
        <w:t>Callosobrochus</w:t>
      </w:r>
      <w:r w:rsidR="00E16BFF">
        <w:rPr>
          <w:rFonts w:ascii="Times New Roman" w:hAnsi="Times New Roman" w:cs="Times New Roman"/>
          <w:sz w:val="24"/>
          <w:szCs w:val="24"/>
        </w:rPr>
        <w:t xml:space="preserve"> sp dan menjaga mutu benih kacang hijau tetap tinggi. Daya simpan benih setiap kultivar tidak selalu </w:t>
      </w:r>
      <w:proofErr w:type="gramStart"/>
      <w:r w:rsidR="00E16BFF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="00E16B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16BFF">
        <w:rPr>
          <w:rFonts w:ascii="Times New Roman" w:hAnsi="Times New Roman" w:cs="Times New Roman"/>
          <w:sz w:val="24"/>
          <w:szCs w:val="24"/>
        </w:rPr>
        <w:t>Kultivar Vima-1 dan Vima-3 merupakan kultivar unggu baru kacang hijau yang diminati banyak petani, sehingga diperlukan informasi teknologi penyimpanan yang tepat.</w:t>
      </w:r>
      <w:proofErr w:type="gramEnd"/>
      <w:r w:rsidR="00E16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02D" w:rsidRPr="00225975" w:rsidRDefault="00CA77B6" w:rsidP="00E16B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25975" w:rsidRDefault="00EA20F4" w:rsidP="00CA77B6">
      <w:pPr>
        <w:pStyle w:val="NoSpacing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02D">
        <w:rPr>
          <w:rFonts w:ascii="Times New Roman" w:hAnsi="Times New Roman" w:cs="Times New Roman"/>
          <w:b/>
          <w:sz w:val="24"/>
          <w:szCs w:val="24"/>
        </w:rPr>
        <w:t>BAHAN DAN METODE</w:t>
      </w:r>
    </w:p>
    <w:p w:rsidR="00E16BFF" w:rsidRPr="0067683B" w:rsidRDefault="00E16BFF" w:rsidP="00431970">
      <w:pPr>
        <w:rPr>
          <w:rFonts w:ascii="Times New Roman" w:hAnsi="Times New Roman" w:cs="Times New Roman"/>
          <w:sz w:val="24"/>
          <w:szCs w:val="24"/>
        </w:rPr>
      </w:pPr>
    </w:p>
    <w:p w:rsidR="00431970" w:rsidRDefault="00431970" w:rsidP="00431970">
      <w:pPr>
        <w:pStyle w:val="NoSpacing"/>
        <w:spacing w:line="480" w:lineRule="auto"/>
        <w:ind w:left="1282"/>
        <w:rPr>
          <w:rFonts w:ascii="Times New Roman" w:hAnsi="Times New Roman" w:cs="Times New Roman"/>
          <w:sz w:val="24"/>
          <w:szCs w:val="24"/>
        </w:rPr>
      </w:pPr>
    </w:p>
    <w:p w:rsidR="00E16BFF" w:rsidRDefault="00EA20F4" w:rsidP="0067683B">
      <w:pPr>
        <w:pStyle w:val="NoSpacing"/>
        <w:spacing w:line="480" w:lineRule="auto"/>
        <w:ind w:left="1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merupakan dua seri percobaan penyimpanan benih kacang hijau </w:t>
      </w:r>
      <w:r w:rsidR="00E16BFF">
        <w:rPr>
          <w:rFonts w:ascii="Times New Roman" w:hAnsi="Times New Roman" w:cs="Times New Roman"/>
          <w:sz w:val="24"/>
          <w:szCs w:val="24"/>
        </w:rPr>
        <w:t>yang</w:t>
      </w:r>
    </w:p>
    <w:p w:rsidR="00EA20F4" w:rsidRDefault="00EA20F4" w:rsidP="006768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Laboratorium Teknologi Benih, Departemen Budidaya Pertanian, Fakultas Pertanian Unpad, kampus Jatinangor. Percobaan pertama dan kedua masing-</w:t>
      </w:r>
      <w:proofErr w:type="gramStart"/>
      <w:r>
        <w:rPr>
          <w:rFonts w:ascii="Times New Roman" w:hAnsi="Times New Roman" w:cs="Times New Roman"/>
          <w:sz w:val="24"/>
          <w:szCs w:val="24"/>
        </w:rPr>
        <w:t>masing  dilaksanakan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mulai bulan Januari sampai dengan Maret 2017 dan April – Juni 2017. </w:t>
      </w:r>
    </w:p>
    <w:p w:rsidR="00E16BFF" w:rsidRDefault="00E16BFF" w:rsidP="0067683B">
      <w:pPr>
        <w:pStyle w:val="NoSpacing"/>
        <w:spacing w:line="480" w:lineRule="auto"/>
        <w:ind w:left="1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20F4">
        <w:rPr>
          <w:rFonts w:ascii="Times New Roman" w:hAnsi="Times New Roman" w:cs="Times New Roman"/>
          <w:sz w:val="24"/>
          <w:szCs w:val="24"/>
        </w:rPr>
        <w:t xml:space="preserve">Bahan-bahan yang digunakan meliputi </w:t>
      </w:r>
      <w:r w:rsidR="009233A4">
        <w:rPr>
          <w:rFonts w:ascii="Times New Roman" w:hAnsi="Times New Roman" w:cs="Times New Roman"/>
          <w:sz w:val="24"/>
          <w:szCs w:val="24"/>
        </w:rPr>
        <w:t>benih k</w:t>
      </w:r>
      <w:r>
        <w:rPr>
          <w:rFonts w:ascii="Times New Roman" w:hAnsi="Times New Roman" w:cs="Times New Roman"/>
          <w:sz w:val="24"/>
          <w:szCs w:val="24"/>
        </w:rPr>
        <w:t>acang hijau kultivar Vima-1 dan</w:t>
      </w:r>
    </w:p>
    <w:p w:rsidR="00E16BFF" w:rsidRDefault="00E16BFF" w:rsidP="0067683B">
      <w:pPr>
        <w:pStyle w:val="NoSpacing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33A4">
        <w:rPr>
          <w:rFonts w:ascii="Times New Roman" w:hAnsi="Times New Roman" w:cs="Times New Roman"/>
          <w:sz w:val="24"/>
          <w:szCs w:val="24"/>
        </w:rPr>
        <w:t>Vima-3 masing-masing sebanyak 3.5 kg yang diperoleh dari UPTD Benih Palawija,</w:t>
      </w:r>
    </w:p>
    <w:p w:rsidR="00E16BFF" w:rsidRDefault="00E16BFF" w:rsidP="0067683B">
      <w:pPr>
        <w:pStyle w:val="NoSpacing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33A4">
        <w:rPr>
          <w:rFonts w:ascii="Times New Roman" w:hAnsi="Times New Roman" w:cs="Times New Roman"/>
          <w:sz w:val="24"/>
          <w:szCs w:val="24"/>
        </w:rPr>
        <w:t xml:space="preserve">Plumbon, Kabupaten Cirebon dan Balai Penelitian Tanaman Aneka Kacang dan Umbi, </w:t>
      </w:r>
    </w:p>
    <w:p w:rsidR="00431970" w:rsidRDefault="00E16BFF" w:rsidP="0067683B">
      <w:pPr>
        <w:pStyle w:val="NoSpacing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9233A4">
        <w:rPr>
          <w:rFonts w:ascii="Times New Roman" w:hAnsi="Times New Roman" w:cs="Times New Roman"/>
          <w:sz w:val="24"/>
          <w:szCs w:val="24"/>
        </w:rPr>
        <w:t>Malang.</w:t>
      </w:r>
      <w:r w:rsidR="004319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1970">
        <w:rPr>
          <w:rFonts w:ascii="Times New Roman" w:hAnsi="Times New Roman" w:cs="Times New Roman"/>
          <w:sz w:val="24"/>
          <w:szCs w:val="24"/>
        </w:rPr>
        <w:t>Benih untuk keperluan percobaan ke dua sudah disimpan selama tiga bulan.</w:t>
      </w:r>
      <w:proofErr w:type="gramEnd"/>
      <w:r w:rsidR="00431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BFF" w:rsidRDefault="00431970" w:rsidP="0067683B">
      <w:pPr>
        <w:pStyle w:val="NoSpacing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33A4">
        <w:rPr>
          <w:rFonts w:ascii="Times New Roman" w:hAnsi="Times New Roman" w:cs="Times New Roman"/>
          <w:sz w:val="24"/>
          <w:szCs w:val="24"/>
        </w:rPr>
        <w:t xml:space="preserve"> Minyak cengkeh sebagai bioprotektan, kertas merang, berbagai kemasan berupa</w:t>
      </w:r>
    </w:p>
    <w:p w:rsidR="00E16BFF" w:rsidRDefault="00E16BFF" w:rsidP="00431970">
      <w:pPr>
        <w:pStyle w:val="NoSpacing"/>
        <w:spacing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2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3A4">
        <w:rPr>
          <w:rFonts w:ascii="Times New Roman" w:hAnsi="Times New Roman" w:cs="Times New Roman"/>
          <w:sz w:val="24"/>
          <w:szCs w:val="24"/>
        </w:rPr>
        <w:t>karung</w:t>
      </w:r>
      <w:proofErr w:type="gramEnd"/>
      <w:r w:rsidR="009233A4">
        <w:rPr>
          <w:rFonts w:ascii="Times New Roman" w:hAnsi="Times New Roman" w:cs="Times New Roman"/>
          <w:sz w:val="24"/>
          <w:szCs w:val="24"/>
        </w:rPr>
        <w:t xml:space="preserve"> terigu, kantong kertas , kantong plastic kedap udara, aluminiu</w:t>
      </w:r>
      <w:r w:rsidR="00EA13F2">
        <w:rPr>
          <w:rFonts w:ascii="Times New Roman" w:hAnsi="Times New Roman" w:cs="Times New Roman"/>
          <w:sz w:val="24"/>
          <w:szCs w:val="24"/>
        </w:rPr>
        <w:t>m foil, dan botol kaca</w:t>
      </w:r>
    </w:p>
    <w:p w:rsidR="00431970" w:rsidRDefault="00E16BFF" w:rsidP="00431970">
      <w:pPr>
        <w:pStyle w:val="NoSpacing"/>
        <w:spacing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A1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1970">
        <w:rPr>
          <w:rFonts w:ascii="Times New Roman" w:hAnsi="Times New Roman" w:cs="Times New Roman"/>
          <w:sz w:val="24"/>
          <w:szCs w:val="24"/>
        </w:rPr>
        <w:t>ukuran</w:t>
      </w:r>
      <w:proofErr w:type="gramEnd"/>
      <w:r w:rsidR="00431970">
        <w:rPr>
          <w:rFonts w:ascii="Times New Roman" w:hAnsi="Times New Roman" w:cs="Times New Roman"/>
          <w:sz w:val="24"/>
          <w:szCs w:val="24"/>
        </w:rPr>
        <w:t xml:space="preserve"> 140 ml</w:t>
      </w:r>
      <w:r w:rsidR="00EA13F2">
        <w:rPr>
          <w:rFonts w:ascii="Times New Roman" w:hAnsi="Times New Roman" w:cs="Times New Roman"/>
          <w:sz w:val="24"/>
          <w:szCs w:val="24"/>
        </w:rPr>
        <w:t xml:space="preserve">, serta hama gudang </w:t>
      </w:r>
      <w:r w:rsidR="00EA13F2" w:rsidRPr="00EA13F2">
        <w:rPr>
          <w:rFonts w:ascii="Times New Roman" w:hAnsi="Times New Roman" w:cs="Times New Roman"/>
          <w:i/>
          <w:sz w:val="24"/>
          <w:szCs w:val="24"/>
        </w:rPr>
        <w:t>Callosobrochus</w:t>
      </w:r>
      <w:r w:rsidR="00EA13F2">
        <w:rPr>
          <w:rFonts w:ascii="Times New Roman" w:hAnsi="Times New Roman" w:cs="Times New Roman"/>
          <w:sz w:val="24"/>
          <w:szCs w:val="24"/>
        </w:rPr>
        <w:t xml:space="preserve"> sp sebanyak ± 400 pasang, kertas</w:t>
      </w:r>
    </w:p>
    <w:p w:rsidR="00EA20F4" w:rsidRDefault="00431970" w:rsidP="00431970">
      <w:pPr>
        <w:pStyle w:val="NoSpacing"/>
        <w:spacing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1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A13F2">
        <w:rPr>
          <w:rFonts w:ascii="Times New Roman" w:hAnsi="Times New Roman" w:cs="Times New Roman"/>
          <w:sz w:val="24"/>
          <w:szCs w:val="24"/>
        </w:rPr>
        <w:t>merang</w:t>
      </w:r>
      <w:proofErr w:type="gramEnd"/>
      <w:r w:rsidR="00EA13F2">
        <w:rPr>
          <w:rFonts w:ascii="Times New Roman" w:hAnsi="Times New Roman" w:cs="Times New Roman"/>
          <w:sz w:val="24"/>
          <w:szCs w:val="24"/>
        </w:rPr>
        <w:t xml:space="preserve"> dan plastic transparan.</w:t>
      </w:r>
    </w:p>
    <w:p w:rsidR="00E16BFF" w:rsidRDefault="00EA13F2" w:rsidP="0067683B">
      <w:pPr>
        <w:pStyle w:val="NoSpacing"/>
        <w:spacing w:line="480" w:lineRule="auto"/>
        <w:ind w:left="128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Adapun alat-alat yang digunakan meliputi container plastik untuk me</w:t>
      </w:r>
      <w:r w:rsidR="00E16BFF">
        <w:rPr>
          <w:rFonts w:ascii="Times New Roman" w:hAnsi="Times New Roman" w:cs="Times New Roman"/>
          <w:sz w:val="24"/>
          <w:szCs w:val="24"/>
        </w:rPr>
        <w:t>nyimpan</w:t>
      </w:r>
    </w:p>
    <w:p w:rsidR="00E16BFF" w:rsidRDefault="00E16BFF" w:rsidP="0067683B">
      <w:pPr>
        <w:pStyle w:val="NoSpacing"/>
        <w:spacing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EA13F2">
        <w:rPr>
          <w:rFonts w:ascii="Times New Roman" w:hAnsi="Times New Roman" w:cs="Times New Roman"/>
          <w:sz w:val="24"/>
          <w:szCs w:val="24"/>
        </w:rPr>
        <w:t>benih</w:t>
      </w:r>
      <w:proofErr w:type="gramEnd"/>
      <w:r w:rsidR="00EA13F2">
        <w:rPr>
          <w:rFonts w:ascii="Times New Roman" w:hAnsi="Times New Roman" w:cs="Times New Roman"/>
          <w:sz w:val="24"/>
          <w:szCs w:val="24"/>
        </w:rPr>
        <w:t>, sirink, thermo-hygro, alat pengepres kertas , germinator, konduktivitimeter, beake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EA13F2" w:rsidRDefault="00E16BFF" w:rsidP="0067683B">
      <w:pPr>
        <w:pStyle w:val="NoSpacing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glass</w:t>
      </w:r>
      <w:proofErr w:type="gramEnd"/>
      <w:r>
        <w:rPr>
          <w:rFonts w:ascii="Times New Roman" w:hAnsi="Times New Roman" w:cs="Times New Roman"/>
          <w:sz w:val="24"/>
          <w:szCs w:val="24"/>
        </w:rPr>
        <w:t>, alat tulis ,</w:t>
      </w:r>
      <w:r w:rsidR="00EA13F2">
        <w:rPr>
          <w:rFonts w:ascii="Times New Roman" w:hAnsi="Times New Roman" w:cs="Times New Roman"/>
          <w:sz w:val="24"/>
          <w:szCs w:val="24"/>
        </w:rPr>
        <w:t xml:space="preserve"> kertas label,</w:t>
      </w:r>
      <w:r>
        <w:rPr>
          <w:rFonts w:ascii="Times New Roman" w:hAnsi="Times New Roman" w:cs="Times New Roman"/>
          <w:sz w:val="24"/>
          <w:szCs w:val="24"/>
        </w:rPr>
        <w:t xml:space="preserve"> dan tali plastic.</w:t>
      </w:r>
      <w:r w:rsidR="00EA1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BFF" w:rsidRDefault="008B0CBC" w:rsidP="0067683B">
      <w:pPr>
        <w:pStyle w:val="NoSpacing"/>
        <w:spacing w:line="480" w:lineRule="auto"/>
        <w:ind w:left="1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A102D">
        <w:rPr>
          <w:rFonts w:ascii="Times New Roman" w:hAnsi="Times New Roman" w:cs="Times New Roman"/>
          <w:sz w:val="24"/>
          <w:szCs w:val="24"/>
        </w:rPr>
        <w:t>Kedua percobaan dirancang dalam Rancan</w:t>
      </w:r>
      <w:r w:rsidR="00E16BFF">
        <w:rPr>
          <w:rFonts w:ascii="Times New Roman" w:hAnsi="Times New Roman" w:cs="Times New Roman"/>
          <w:sz w:val="24"/>
          <w:szCs w:val="24"/>
        </w:rPr>
        <w:t>gan Acak Lengkap sederhana yang</w:t>
      </w:r>
    </w:p>
    <w:p w:rsidR="00EA13F2" w:rsidRDefault="00E16BFF" w:rsidP="006768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102D">
        <w:rPr>
          <w:rFonts w:ascii="Times New Roman" w:hAnsi="Times New Roman" w:cs="Times New Roman"/>
          <w:sz w:val="24"/>
          <w:szCs w:val="24"/>
        </w:rPr>
        <w:t>diulang</w:t>
      </w:r>
      <w:proofErr w:type="gramEnd"/>
      <w:r w:rsidR="00BA102D">
        <w:rPr>
          <w:rFonts w:ascii="Times New Roman" w:hAnsi="Times New Roman" w:cs="Times New Roman"/>
          <w:sz w:val="24"/>
          <w:szCs w:val="24"/>
        </w:rPr>
        <w:t xml:space="preserve"> tiga kali. </w:t>
      </w:r>
      <w:r w:rsidR="008B0CBC">
        <w:rPr>
          <w:rFonts w:ascii="Times New Roman" w:hAnsi="Times New Roman" w:cs="Times New Roman"/>
          <w:sz w:val="24"/>
          <w:szCs w:val="24"/>
        </w:rPr>
        <w:t>Percobaan pertama mengkaji  lima dosis minyak cengkeh (0.0 ml kg</w:t>
      </w:r>
      <w:r w:rsidR="008B0CB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B0CBC">
        <w:rPr>
          <w:rFonts w:ascii="Times New Roman" w:hAnsi="Times New Roman" w:cs="Times New Roman"/>
          <w:sz w:val="24"/>
          <w:szCs w:val="24"/>
        </w:rPr>
        <w:t>, 0.5 ml kg</w:t>
      </w:r>
      <w:r w:rsidR="008B0CB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B0CBC">
        <w:rPr>
          <w:rFonts w:ascii="Times New Roman" w:hAnsi="Times New Roman" w:cs="Times New Roman"/>
          <w:sz w:val="24"/>
          <w:szCs w:val="24"/>
        </w:rPr>
        <w:t>, 1.0 ml kg</w:t>
      </w:r>
      <w:r w:rsidR="008B0CB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B0CBC">
        <w:rPr>
          <w:rFonts w:ascii="Times New Roman" w:hAnsi="Times New Roman" w:cs="Times New Roman"/>
          <w:sz w:val="24"/>
          <w:szCs w:val="24"/>
        </w:rPr>
        <w:t>, 1.5 ml kg</w:t>
      </w:r>
      <w:r w:rsidR="008B0CB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B0CBC">
        <w:rPr>
          <w:rFonts w:ascii="Times New Roman" w:hAnsi="Times New Roman" w:cs="Times New Roman"/>
          <w:sz w:val="24"/>
          <w:szCs w:val="24"/>
        </w:rPr>
        <w:t xml:space="preserve"> , 2.0 ml kg</w:t>
      </w:r>
      <w:r w:rsidR="008B0CB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B0CBC">
        <w:rPr>
          <w:rFonts w:ascii="Times New Roman" w:hAnsi="Times New Roman" w:cs="Times New Roman"/>
          <w:sz w:val="24"/>
          <w:szCs w:val="24"/>
        </w:rPr>
        <w:t xml:space="preserve">) dalam mempertahankan mutu benih dua kultivar kacang hijau ( Vima-1 dan Vima-3) selama periode simpan tiga bulan. Percobaan ke dua mengkaji </w:t>
      </w:r>
      <w:proofErr w:type="gramStart"/>
      <w:r w:rsidR="008B0CBC">
        <w:rPr>
          <w:rFonts w:ascii="Times New Roman" w:hAnsi="Times New Roman" w:cs="Times New Roman"/>
          <w:sz w:val="24"/>
          <w:szCs w:val="24"/>
        </w:rPr>
        <w:t>lima  jenis</w:t>
      </w:r>
      <w:proofErr w:type="gramEnd"/>
      <w:r w:rsidR="008B0CBC">
        <w:rPr>
          <w:rFonts w:ascii="Times New Roman" w:hAnsi="Times New Roman" w:cs="Times New Roman"/>
          <w:sz w:val="24"/>
          <w:szCs w:val="24"/>
        </w:rPr>
        <w:t xml:space="preserve"> kemasan untuk menyimpan benih ( karung terigu, aluminium foil, kantong kertas, kantong plastic seal dan botol kaca) dalam mempertahankan mutu benih dua kultivar kacang h</w:t>
      </w:r>
      <w:r w:rsidR="00BA102D">
        <w:rPr>
          <w:rFonts w:ascii="Times New Roman" w:hAnsi="Times New Roman" w:cs="Times New Roman"/>
          <w:sz w:val="24"/>
          <w:szCs w:val="24"/>
        </w:rPr>
        <w:t>ijau (</w:t>
      </w:r>
      <w:r w:rsidR="008B0CBC">
        <w:rPr>
          <w:rFonts w:ascii="Times New Roman" w:hAnsi="Times New Roman" w:cs="Times New Roman"/>
          <w:sz w:val="24"/>
          <w:szCs w:val="24"/>
        </w:rPr>
        <w:t>Vima-1 dan Vima-3)</w:t>
      </w:r>
      <w:r w:rsidR="00BA102D">
        <w:rPr>
          <w:rFonts w:ascii="Times New Roman" w:hAnsi="Times New Roman" w:cs="Times New Roman"/>
          <w:sz w:val="24"/>
          <w:szCs w:val="24"/>
        </w:rPr>
        <w:t xml:space="preserve"> selama periode simpan tiga bulan</w:t>
      </w:r>
      <w:r w:rsidR="008B0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E88" w:rsidRDefault="00BA102D" w:rsidP="0067683B">
      <w:pPr>
        <w:pStyle w:val="NoSpacing"/>
        <w:spacing w:line="480" w:lineRule="auto"/>
        <w:ind w:left="1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Rancangan respons meliputi populasi </w:t>
      </w:r>
      <w:proofErr w:type="gramStart"/>
      <w:r>
        <w:rPr>
          <w:rFonts w:ascii="Times New Roman" w:hAnsi="Times New Roman" w:cs="Times New Roman"/>
          <w:sz w:val="24"/>
          <w:szCs w:val="24"/>
        </w:rPr>
        <w:t>hama</w:t>
      </w:r>
      <w:proofErr w:type="gramEnd"/>
      <w:r>
        <w:rPr>
          <w:rFonts w:ascii="Times New Roman" w:hAnsi="Times New Roman" w:cs="Times New Roman"/>
          <w:sz w:val="24"/>
          <w:szCs w:val="24"/>
        </w:rPr>
        <w:t>, persentase benih rusak, kadar air</w:t>
      </w:r>
    </w:p>
    <w:p w:rsidR="00BA102D" w:rsidRDefault="00BA102D" w:rsidP="006768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benih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daya berkacambah dan vigor benih pada akhir percobaan. </w:t>
      </w:r>
      <w:proofErr w:type="gramStart"/>
      <w:r>
        <w:rPr>
          <w:rFonts w:ascii="Times New Roman" w:hAnsi="Times New Roman" w:cs="Times New Roman"/>
          <w:sz w:val="24"/>
          <w:szCs w:val="24"/>
        </w:rPr>
        <w:t>Data penunjang meliputi suhu dan kelembaban ruangan.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Data pengamatan akibat perlakuan diuji dengan uji F yang dilanjutkan dengan uji jarak berganda Duncan taraf nyata 5 %.</w:t>
      </w:r>
      <w:proofErr w:type="gramEnd"/>
    </w:p>
    <w:p w:rsidR="008B0CBC" w:rsidRPr="008B0CBC" w:rsidRDefault="008B0CBC" w:rsidP="00CA77B6">
      <w:pPr>
        <w:pStyle w:val="NoSpacing"/>
        <w:spacing w:line="360" w:lineRule="auto"/>
        <w:ind w:left="1282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5975" w:rsidRDefault="00225975" w:rsidP="00D82E88">
      <w:pPr>
        <w:pStyle w:val="NoSpacing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E88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D82E88" w:rsidRDefault="00D82E88" w:rsidP="00D82E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2E88" w:rsidRDefault="00D82E88" w:rsidP="00D82E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Rata-rata Suhu dan Kelembaban Ruang Penyimpanan</w:t>
      </w:r>
    </w:p>
    <w:p w:rsidR="00D82E88" w:rsidRDefault="00D82E88" w:rsidP="00D82E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31970" w:rsidRDefault="00D82E88" w:rsidP="0043197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431970">
        <w:rPr>
          <w:rFonts w:ascii="Times New Roman" w:hAnsi="Times New Roman" w:cs="Times New Roman"/>
          <w:sz w:val="24"/>
          <w:szCs w:val="24"/>
        </w:rPr>
        <w:t>Kondisi suhu dan kelembaban udara ruang penyimpnana relatif stabil.</w:t>
      </w:r>
      <w:proofErr w:type="gramEnd"/>
      <w:r w:rsidR="00431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5A8" w:rsidRDefault="00D82E88" w:rsidP="0043197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Rata-rata suhu dan kelembaban ruang simpan  dari bulan Januari sampai Maret 2017  adalah  25,7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C dan 68,5 %, sedangkan dari bulan April sampai Juni 2017 adalah 25,72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431970">
        <w:rPr>
          <w:rFonts w:ascii="Times New Roman" w:hAnsi="Times New Roman" w:cs="Times New Roman"/>
          <w:sz w:val="24"/>
          <w:szCs w:val="24"/>
        </w:rPr>
        <w:t xml:space="preserve">C dan 67,25 %. </w:t>
      </w:r>
    </w:p>
    <w:p w:rsidR="004775A8" w:rsidRDefault="004775A8" w:rsidP="00D82E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75A8">
        <w:rPr>
          <w:rFonts w:ascii="Times New Roman" w:hAnsi="Times New Roman" w:cs="Times New Roman"/>
          <w:b/>
          <w:sz w:val="24"/>
          <w:szCs w:val="24"/>
        </w:rPr>
        <w:t xml:space="preserve">Daya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4775A8">
        <w:rPr>
          <w:rFonts w:ascii="Times New Roman" w:hAnsi="Times New Roman" w:cs="Times New Roman"/>
          <w:b/>
          <w:sz w:val="24"/>
          <w:szCs w:val="24"/>
        </w:rPr>
        <w:t>erkecambah</w:t>
      </w:r>
      <w:r>
        <w:rPr>
          <w:rFonts w:ascii="Times New Roman" w:hAnsi="Times New Roman" w:cs="Times New Roman"/>
          <w:b/>
          <w:sz w:val="24"/>
          <w:szCs w:val="24"/>
        </w:rPr>
        <w:t xml:space="preserve">, Indeks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Vigor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4775A8">
        <w:rPr>
          <w:rFonts w:ascii="Times New Roman" w:hAnsi="Times New Roman" w:cs="Times New Roman"/>
          <w:b/>
          <w:sz w:val="24"/>
          <w:szCs w:val="24"/>
        </w:rPr>
        <w:t xml:space="preserve">adar </w:t>
      </w:r>
      <w:r>
        <w:rPr>
          <w:rFonts w:ascii="Times New Roman" w:hAnsi="Times New Roman" w:cs="Times New Roman"/>
          <w:b/>
          <w:sz w:val="24"/>
          <w:szCs w:val="24"/>
        </w:rPr>
        <w:t xml:space="preserve">Air Awal </w:t>
      </w:r>
      <w:r w:rsidR="00F30FAD">
        <w:rPr>
          <w:rFonts w:ascii="Times New Roman" w:hAnsi="Times New Roman" w:cs="Times New Roman"/>
          <w:b/>
          <w:sz w:val="24"/>
          <w:szCs w:val="24"/>
        </w:rPr>
        <w:t xml:space="preserve">, Bobot 100 butir </w:t>
      </w:r>
      <w:r>
        <w:rPr>
          <w:rFonts w:ascii="Times New Roman" w:hAnsi="Times New Roman" w:cs="Times New Roman"/>
          <w:b/>
          <w:sz w:val="24"/>
          <w:szCs w:val="24"/>
        </w:rPr>
        <w:t>Sebelum P</w:t>
      </w:r>
      <w:r w:rsidRPr="004775A8">
        <w:rPr>
          <w:rFonts w:ascii="Times New Roman" w:hAnsi="Times New Roman" w:cs="Times New Roman"/>
          <w:b/>
          <w:sz w:val="24"/>
          <w:szCs w:val="24"/>
        </w:rPr>
        <w:t>enyimpanan</w:t>
      </w:r>
    </w:p>
    <w:p w:rsidR="004775A8" w:rsidRDefault="004775A8" w:rsidP="00D82E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775A8" w:rsidRDefault="004775A8" w:rsidP="0043197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Daya berkecambah, indeks vigor, kadar air kultivar Vima-1 dan Vima-3 sebelum penyimpanan ada pada batas bermutu tinggi </w:t>
      </w:r>
      <w:proofErr w:type="gramStart"/>
      <w:r>
        <w:rPr>
          <w:rFonts w:ascii="Times New Roman" w:hAnsi="Times New Roman" w:cs="Times New Roman"/>
          <w:sz w:val="24"/>
          <w:szCs w:val="24"/>
        </w:rPr>
        <w:t>( Tabel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4775A8" w:rsidRDefault="004775A8" w:rsidP="00D82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5A8" w:rsidRDefault="004775A8" w:rsidP="00D82E8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Tabel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Daya Berkecambah, Indeks Vigor dan Kadar Air</w:t>
      </w:r>
      <w:r w:rsidR="00F30FAD">
        <w:rPr>
          <w:rFonts w:ascii="Times New Roman" w:hAnsi="Times New Roman" w:cs="Times New Roman"/>
          <w:sz w:val="24"/>
          <w:szCs w:val="24"/>
        </w:rPr>
        <w:t>, Bobot 100 butir</w:t>
      </w:r>
      <w:r>
        <w:rPr>
          <w:rFonts w:ascii="Times New Roman" w:hAnsi="Times New Roman" w:cs="Times New Roman"/>
          <w:sz w:val="24"/>
          <w:szCs w:val="24"/>
        </w:rPr>
        <w:t xml:space="preserve"> Sebelum </w:t>
      </w:r>
      <w:r w:rsidR="00F30F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Penyimpanan</w:t>
      </w:r>
    </w:p>
    <w:tbl>
      <w:tblPr>
        <w:tblStyle w:val="TableGrid"/>
        <w:tblW w:w="9014" w:type="dxa"/>
        <w:tblInd w:w="562" w:type="dxa"/>
        <w:tblLook w:val="04A0"/>
      </w:tblPr>
      <w:tblGrid>
        <w:gridCol w:w="1096"/>
        <w:gridCol w:w="2017"/>
        <w:gridCol w:w="1402"/>
        <w:gridCol w:w="1146"/>
        <w:gridCol w:w="1315"/>
        <w:gridCol w:w="1030"/>
        <w:gridCol w:w="1008"/>
      </w:tblGrid>
      <w:tr w:rsidR="00F30FAD" w:rsidTr="000A01D2">
        <w:tc>
          <w:tcPr>
            <w:tcW w:w="1096" w:type="dxa"/>
            <w:vMerge w:val="restart"/>
          </w:tcPr>
          <w:p w:rsidR="00E7445C" w:rsidRDefault="00E7445C" w:rsidP="00F30FAD">
            <w:pPr>
              <w:pStyle w:val="NoSpacing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FAD" w:rsidRPr="00E7445C" w:rsidRDefault="00F30FAD" w:rsidP="00F30FAD">
            <w:pPr>
              <w:pStyle w:val="NoSpacing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5C">
              <w:rPr>
                <w:rFonts w:ascii="Times New Roman" w:hAnsi="Times New Roman" w:cs="Times New Roman"/>
                <w:b/>
                <w:sz w:val="24"/>
                <w:szCs w:val="24"/>
              </w:rPr>
              <w:t>Kultivar</w:t>
            </w:r>
          </w:p>
        </w:tc>
        <w:tc>
          <w:tcPr>
            <w:tcW w:w="7918" w:type="dxa"/>
            <w:gridSpan w:val="6"/>
          </w:tcPr>
          <w:p w:rsidR="00F30FAD" w:rsidRDefault="00F30FAD" w:rsidP="00F30FA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Percobaan I</w:t>
            </w:r>
          </w:p>
        </w:tc>
      </w:tr>
      <w:tr w:rsidR="000A01D2" w:rsidTr="00F912CC">
        <w:tc>
          <w:tcPr>
            <w:tcW w:w="1096" w:type="dxa"/>
            <w:vMerge/>
          </w:tcPr>
          <w:p w:rsidR="000A01D2" w:rsidRDefault="000A01D2" w:rsidP="00F30FAD">
            <w:pPr>
              <w:pStyle w:val="NoSpacing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Daya Berkecambah (%)</w:t>
            </w:r>
          </w:p>
        </w:tc>
        <w:tc>
          <w:tcPr>
            <w:tcW w:w="144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Vigor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Kadar Air (%)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100 butir (g)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912CC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Lemak </w:t>
            </w:r>
          </w:p>
          <w:p w:rsidR="00F912CC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0A01D2" w:rsidTr="00F912CC">
        <w:tc>
          <w:tcPr>
            <w:tcW w:w="1096" w:type="dxa"/>
          </w:tcPr>
          <w:p w:rsidR="000A01D2" w:rsidRDefault="000A01D2" w:rsidP="00F30FAD">
            <w:pPr>
              <w:pStyle w:val="NoSpacing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Vima-1</w:t>
            </w:r>
          </w:p>
        </w:tc>
        <w:tc>
          <w:tcPr>
            <w:tcW w:w="205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</w:t>
            </w:r>
          </w:p>
        </w:tc>
        <w:tc>
          <w:tcPr>
            <w:tcW w:w="144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1D2" w:rsidTr="00F912CC">
        <w:tc>
          <w:tcPr>
            <w:tcW w:w="1096" w:type="dxa"/>
          </w:tcPr>
          <w:p w:rsidR="000A01D2" w:rsidRDefault="000A01D2" w:rsidP="00F30FAD">
            <w:pPr>
              <w:pStyle w:val="NoSpacing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Vima-2</w:t>
            </w:r>
          </w:p>
        </w:tc>
        <w:tc>
          <w:tcPr>
            <w:tcW w:w="205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44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FAD" w:rsidTr="000A01D2">
        <w:tc>
          <w:tcPr>
            <w:tcW w:w="1096" w:type="dxa"/>
            <w:vMerge w:val="restart"/>
          </w:tcPr>
          <w:p w:rsidR="00E7445C" w:rsidRDefault="00E7445C" w:rsidP="00F30FAD">
            <w:pPr>
              <w:pStyle w:val="NoSpacing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FAD" w:rsidRPr="00E7445C" w:rsidRDefault="00F30FAD" w:rsidP="00F30FAD">
            <w:pPr>
              <w:pStyle w:val="NoSpacing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Kultivar </w:t>
            </w:r>
          </w:p>
        </w:tc>
        <w:tc>
          <w:tcPr>
            <w:tcW w:w="7918" w:type="dxa"/>
            <w:gridSpan w:val="6"/>
          </w:tcPr>
          <w:p w:rsidR="00F30FAD" w:rsidRDefault="00F30FAD" w:rsidP="00F30FA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Percobaan II</w:t>
            </w:r>
          </w:p>
        </w:tc>
      </w:tr>
      <w:tr w:rsidR="000A01D2" w:rsidTr="00F912CC">
        <w:tc>
          <w:tcPr>
            <w:tcW w:w="1096" w:type="dxa"/>
            <w:vMerge/>
          </w:tcPr>
          <w:p w:rsidR="000A01D2" w:rsidRDefault="000A01D2" w:rsidP="00F30FAD">
            <w:pPr>
              <w:pStyle w:val="NoSpacing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Daya Berkecambah</w:t>
            </w:r>
          </w:p>
        </w:tc>
        <w:tc>
          <w:tcPr>
            <w:tcW w:w="144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Vigor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Kadar Air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100 butir (g)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912CC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Protein*</w:t>
            </w:r>
          </w:p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Lemak*</w:t>
            </w:r>
          </w:p>
          <w:p w:rsidR="00F912CC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0A01D2" w:rsidTr="00F912CC">
        <w:tc>
          <w:tcPr>
            <w:tcW w:w="1096" w:type="dxa"/>
          </w:tcPr>
          <w:p w:rsidR="000A01D2" w:rsidRDefault="000A01D2" w:rsidP="00F30FAD">
            <w:pPr>
              <w:pStyle w:val="NoSpacing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Vima-1</w:t>
            </w:r>
          </w:p>
        </w:tc>
        <w:tc>
          <w:tcPr>
            <w:tcW w:w="205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95.33</w:t>
            </w:r>
          </w:p>
        </w:tc>
        <w:tc>
          <w:tcPr>
            <w:tcW w:w="144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20.42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</w:tc>
      </w:tr>
      <w:tr w:rsidR="000A01D2" w:rsidTr="00F912CC">
        <w:tc>
          <w:tcPr>
            <w:tcW w:w="1096" w:type="dxa"/>
          </w:tcPr>
          <w:p w:rsidR="000A01D2" w:rsidRDefault="000A01D2" w:rsidP="00F30FAD">
            <w:pPr>
              <w:pStyle w:val="NoSpacing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Vima-2</w:t>
            </w:r>
          </w:p>
        </w:tc>
        <w:tc>
          <w:tcPr>
            <w:tcW w:w="205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96.00</w:t>
            </w:r>
          </w:p>
        </w:tc>
        <w:tc>
          <w:tcPr>
            <w:tcW w:w="1440" w:type="dxa"/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A01D2" w:rsidRDefault="000A01D2" w:rsidP="00E7445C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A01D2" w:rsidRDefault="00F912CC" w:rsidP="000A01D2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</w:tr>
    </w:tbl>
    <w:p w:rsidR="00F912CC" w:rsidRDefault="00E7445C" w:rsidP="00D82E88">
      <w:pPr>
        <w:pStyle w:val="NoSpacing"/>
        <w:rPr>
          <w:rFonts w:ascii="Times New Roman" w:hAnsi="Times New Roman" w:cs="Times New Roman"/>
        </w:rPr>
      </w:pPr>
      <w:proofErr w:type="gramStart"/>
      <w:r w:rsidRPr="00E7445C">
        <w:rPr>
          <w:rFonts w:ascii="Times New Roman" w:hAnsi="Times New Roman" w:cs="Times New Roman"/>
        </w:rPr>
        <w:t>Sumber :</w:t>
      </w:r>
      <w:proofErr w:type="gramEnd"/>
      <w:r w:rsidRPr="00E7445C">
        <w:rPr>
          <w:rFonts w:ascii="Times New Roman" w:hAnsi="Times New Roman" w:cs="Times New Roman"/>
        </w:rPr>
        <w:t xml:space="preserve"> Laboratorium Teknologi Benih, Departemen Budidaya Pertanian, Faperta UNPAD</w:t>
      </w:r>
    </w:p>
    <w:p w:rsidR="004775A8" w:rsidRPr="00E7445C" w:rsidRDefault="00F912CC" w:rsidP="00F912C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Laboratorium Kimia Agro Dinas Pertanian Tanaman Pangan ,Jawa Barat (2017)</w:t>
      </w:r>
      <w:r w:rsidR="00E7445C" w:rsidRPr="00E7445C">
        <w:rPr>
          <w:rFonts w:ascii="Times New Roman" w:hAnsi="Times New Roman" w:cs="Times New Roman"/>
        </w:rPr>
        <w:t xml:space="preserve"> </w:t>
      </w:r>
      <w:r w:rsidR="004775A8" w:rsidRPr="00E7445C">
        <w:rPr>
          <w:rFonts w:ascii="Times New Roman" w:hAnsi="Times New Roman" w:cs="Times New Roman"/>
        </w:rPr>
        <w:t xml:space="preserve">            </w:t>
      </w:r>
    </w:p>
    <w:p w:rsidR="0067683B" w:rsidRDefault="00E83620" w:rsidP="00D82E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7683B">
        <w:rPr>
          <w:rFonts w:ascii="Times New Roman" w:hAnsi="Times New Roman" w:cs="Times New Roman"/>
        </w:rPr>
        <w:t xml:space="preserve"> </w:t>
      </w:r>
    </w:p>
    <w:p w:rsidR="00E83620" w:rsidRDefault="0067683B" w:rsidP="006768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</w:t>
      </w:r>
      <w:r w:rsidR="00E83620">
        <w:rPr>
          <w:rFonts w:ascii="Times New Roman" w:hAnsi="Times New Roman" w:cs="Times New Roman"/>
        </w:rPr>
        <w:t xml:space="preserve"> </w:t>
      </w:r>
      <w:r w:rsidR="00E7445C">
        <w:rPr>
          <w:rFonts w:ascii="Times New Roman" w:hAnsi="Times New Roman" w:cs="Times New Roman"/>
        </w:rPr>
        <w:t>Berdasarkan data yang tersaji pada Tabel 1, menunjukkan bahwa benih kedua kultivar yang d</w:t>
      </w:r>
      <w:r>
        <w:rPr>
          <w:rFonts w:ascii="Times New Roman" w:hAnsi="Times New Roman" w:cs="Times New Roman"/>
        </w:rPr>
        <w:t>igunakan mempunyai mutu yang ti</w:t>
      </w:r>
      <w:r w:rsidR="00E7445C">
        <w:rPr>
          <w:rFonts w:ascii="Times New Roman" w:hAnsi="Times New Roman" w:cs="Times New Roman"/>
        </w:rPr>
        <w:t>nggi, rata-rata mempunyai indek</w:t>
      </w:r>
      <w:r>
        <w:rPr>
          <w:rFonts w:ascii="Times New Roman" w:hAnsi="Times New Roman" w:cs="Times New Roman"/>
        </w:rPr>
        <w:t>s</w:t>
      </w:r>
      <w:r w:rsidR="00E7445C">
        <w:rPr>
          <w:rFonts w:ascii="Times New Roman" w:hAnsi="Times New Roman" w:cs="Times New Roman"/>
        </w:rPr>
        <w:t xml:space="preserve"> vigor &gt; 90 %</w:t>
      </w:r>
      <w:r>
        <w:rPr>
          <w:rFonts w:ascii="Times New Roman" w:hAnsi="Times New Roman" w:cs="Times New Roman"/>
        </w:rPr>
        <w:t xml:space="preserve"> dari Indeks Vigor maksimumnya, </w:t>
      </w:r>
      <w:proofErr w:type="gramStart"/>
      <w:r>
        <w:rPr>
          <w:rFonts w:ascii="Times New Roman" w:hAnsi="Times New Roman" w:cs="Times New Roman"/>
        </w:rPr>
        <w:t>k</w:t>
      </w:r>
      <w:r w:rsidR="00E7445C">
        <w:rPr>
          <w:rFonts w:ascii="Times New Roman" w:hAnsi="Times New Roman" w:cs="Times New Roman"/>
        </w:rPr>
        <w:t>adar</w:t>
      </w:r>
      <w:proofErr w:type="gramEnd"/>
      <w:r w:rsidR="00E7445C">
        <w:rPr>
          <w:rFonts w:ascii="Times New Roman" w:hAnsi="Times New Roman" w:cs="Times New Roman"/>
        </w:rPr>
        <w:t xml:space="preserve"> air </w:t>
      </w:r>
      <w:r>
        <w:rPr>
          <w:rFonts w:ascii="Times New Roman" w:hAnsi="Times New Roman" w:cs="Times New Roman"/>
        </w:rPr>
        <w:t xml:space="preserve">ada pada batas yang aman untuk penyimpnana benih. Akan tetapi </w:t>
      </w:r>
      <w:proofErr w:type="gramStart"/>
      <w:r w:rsidR="00E7445C">
        <w:rPr>
          <w:rFonts w:ascii="Times New Roman" w:hAnsi="Times New Roman" w:cs="Times New Roman"/>
        </w:rPr>
        <w:t>antara  kultivar</w:t>
      </w:r>
      <w:proofErr w:type="gramEnd"/>
      <w:r w:rsidR="00E7445C">
        <w:rPr>
          <w:rFonts w:ascii="Times New Roman" w:hAnsi="Times New Roman" w:cs="Times New Roman"/>
        </w:rPr>
        <w:t xml:space="preserve"> terdapat selisih</w:t>
      </w:r>
      <w:r>
        <w:rPr>
          <w:rFonts w:ascii="Times New Roman" w:hAnsi="Times New Roman" w:cs="Times New Roman"/>
        </w:rPr>
        <w:t xml:space="preserve"> kadar air </w:t>
      </w:r>
      <w:r w:rsidR="00E7445C">
        <w:rPr>
          <w:rFonts w:ascii="Times New Roman" w:hAnsi="Times New Roman" w:cs="Times New Roman"/>
        </w:rPr>
        <w:t xml:space="preserve"> 1,9  % dan 2,2 %. Apabila dikaitkan dengan tetapan yang dikemukakan Harrington (1972) maka selisih </w:t>
      </w:r>
      <w:proofErr w:type="gramStart"/>
      <w:r w:rsidR="00E7445C">
        <w:rPr>
          <w:rFonts w:ascii="Times New Roman" w:hAnsi="Times New Roman" w:cs="Times New Roman"/>
        </w:rPr>
        <w:t>kadar</w:t>
      </w:r>
      <w:proofErr w:type="gramEnd"/>
      <w:r w:rsidR="00E7445C">
        <w:rPr>
          <w:rFonts w:ascii="Times New Roman" w:hAnsi="Times New Roman" w:cs="Times New Roman"/>
        </w:rPr>
        <w:t xml:space="preserve"> air 1 % dapat menurunk</w:t>
      </w:r>
      <w:r w:rsidR="00E83620">
        <w:rPr>
          <w:rFonts w:ascii="Times New Roman" w:hAnsi="Times New Roman" w:cs="Times New Roman"/>
        </w:rPr>
        <w:t xml:space="preserve">an daya simpan </w:t>
      </w:r>
      <w:r>
        <w:rPr>
          <w:rFonts w:ascii="Times New Roman" w:hAnsi="Times New Roman" w:cs="Times New Roman"/>
        </w:rPr>
        <w:t xml:space="preserve">setengahnya, kecuali jika disimpan dengan memperhatikan kaidah penyimpanan dengan benar. </w:t>
      </w:r>
      <w:r w:rsidR="00E83620">
        <w:rPr>
          <w:rFonts w:ascii="Times New Roman" w:hAnsi="Times New Roman" w:cs="Times New Roman"/>
        </w:rPr>
        <w:t xml:space="preserve"> Penyimpnan benih yang baik dapat menahan laju deteriorasi benih</w:t>
      </w:r>
      <w:r>
        <w:rPr>
          <w:rFonts w:ascii="Times New Roman" w:hAnsi="Times New Roman" w:cs="Times New Roman"/>
        </w:rPr>
        <w:t xml:space="preserve"> aneka </w:t>
      </w:r>
      <w:proofErr w:type="gramStart"/>
      <w:r>
        <w:rPr>
          <w:rFonts w:ascii="Times New Roman" w:hAnsi="Times New Roman" w:cs="Times New Roman"/>
        </w:rPr>
        <w:t xml:space="preserve">kacang </w:t>
      </w:r>
      <w:r w:rsidR="00E83620">
        <w:rPr>
          <w:rFonts w:ascii="Times New Roman" w:hAnsi="Times New Roman" w:cs="Times New Roman"/>
        </w:rPr>
        <w:t>.</w:t>
      </w:r>
      <w:proofErr w:type="gramEnd"/>
      <w:r w:rsidR="006D768D">
        <w:rPr>
          <w:rFonts w:ascii="Times New Roman" w:hAnsi="Times New Roman" w:cs="Times New Roman"/>
        </w:rPr>
        <w:t xml:space="preserve"> </w:t>
      </w:r>
    </w:p>
    <w:p w:rsidR="00B639B5" w:rsidRPr="007904D8" w:rsidRDefault="006D768D" w:rsidP="007904D8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Faktor internal dan eksternal yang mempengaruhi daya simpan benih adalah kadar air benih, tingkat keutuhan benih, kelembaban </w:t>
      </w:r>
      <w:r w:rsidR="00926BC2">
        <w:rPr>
          <w:rFonts w:ascii="Times New Roman" w:hAnsi="Times New Roman" w:cs="Times New Roman"/>
          <w:sz w:val="24"/>
          <w:szCs w:val="24"/>
        </w:rPr>
        <w:t>relatif,</w:t>
      </w:r>
      <w:r>
        <w:rPr>
          <w:rFonts w:ascii="Times New Roman" w:hAnsi="Times New Roman" w:cs="Times New Roman"/>
          <w:sz w:val="24"/>
          <w:szCs w:val="24"/>
        </w:rPr>
        <w:t xml:space="preserve"> temperature </w:t>
      </w:r>
      <w:r w:rsidR="00B564EF">
        <w:rPr>
          <w:rFonts w:ascii="Times New Roman" w:hAnsi="Times New Roman" w:cs="Times New Roman"/>
          <w:sz w:val="24"/>
          <w:szCs w:val="24"/>
        </w:rPr>
        <w:t>ruang simpan</w:t>
      </w:r>
      <w:r w:rsidR="00926BC2">
        <w:rPr>
          <w:rFonts w:ascii="Times New Roman" w:hAnsi="Times New Roman" w:cs="Times New Roman"/>
          <w:sz w:val="24"/>
          <w:szCs w:val="24"/>
        </w:rPr>
        <w:t xml:space="preserve">, </w:t>
      </w:r>
      <w:r w:rsidR="00926BC2">
        <w:rPr>
          <w:rFonts w:ascii="Times New Roman" w:hAnsi="Times New Roman" w:cs="Times New Roman"/>
          <w:sz w:val="24"/>
          <w:szCs w:val="24"/>
        </w:rPr>
        <w:lastRenderedPageBreak/>
        <w:t xml:space="preserve">keberadaan </w:t>
      </w:r>
      <w:proofErr w:type="gramStart"/>
      <w:r w:rsidR="00926BC2">
        <w:rPr>
          <w:rFonts w:ascii="Times New Roman" w:hAnsi="Times New Roman" w:cs="Times New Roman"/>
          <w:sz w:val="24"/>
          <w:szCs w:val="24"/>
        </w:rPr>
        <w:t xml:space="preserve">protektan </w:t>
      </w:r>
      <w:r w:rsidR="00B564EF">
        <w:rPr>
          <w:rFonts w:ascii="Times New Roman" w:hAnsi="Times New Roman" w:cs="Times New Roman"/>
          <w:sz w:val="24"/>
          <w:szCs w:val="24"/>
        </w:rPr>
        <w:t xml:space="preserve"> serta</w:t>
      </w:r>
      <w:proofErr w:type="gramEnd"/>
      <w:r w:rsidR="00B564EF">
        <w:rPr>
          <w:rFonts w:ascii="Times New Roman" w:hAnsi="Times New Roman" w:cs="Times New Roman"/>
          <w:sz w:val="24"/>
          <w:szCs w:val="24"/>
        </w:rPr>
        <w:t xml:space="preserve"> jenis kemasan. Jika RH mendekati 80 </w:t>
      </w:r>
      <w:proofErr w:type="gramStart"/>
      <w:r w:rsidR="00B564EF">
        <w:rPr>
          <w:rFonts w:ascii="Times New Roman" w:hAnsi="Times New Roman" w:cs="Times New Roman"/>
          <w:sz w:val="24"/>
          <w:szCs w:val="24"/>
        </w:rPr>
        <w:t>%  dan</w:t>
      </w:r>
      <w:proofErr w:type="gramEnd"/>
      <w:r w:rsidR="00B564EF">
        <w:rPr>
          <w:rFonts w:ascii="Times New Roman" w:hAnsi="Times New Roman" w:cs="Times New Roman"/>
          <w:sz w:val="24"/>
          <w:szCs w:val="24"/>
        </w:rPr>
        <w:t xml:space="preserve"> temperatur antara 25 – 30 </w:t>
      </w:r>
      <w:r w:rsidR="00B564E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564EF">
        <w:rPr>
          <w:rFonts w:ascii="Times New Roman" w:hAnsi="Times New Roman" w:cs="Times New Roman"/>
          <w:sz w:val="24"/>
          <w:szCs w:val="24"/>
        </w:rPr>
        <w:t xml:space="preserve"> C dapat mempercepat laju deteriorasi beberapa jenis benih. Demikian pula jika kadar air &gt; 14 % atau &lt; 5 % dapat mempercepat laju deteriorasi </w:t>
      </w:r>
      <w:proofErr w:type="gramStart"/>
      <w:r w:rsidR="00B564EF">
        <w:rPr>
          <w:rFonts w:ascii="Times New Roman" w:hAnsi="Times New Roman" w:cs="Times New Roman"/>
          <w:sz w:val="24"/>
          <w:szCs w:val="24"/>
        </w:rPr>
        <w:t>( Copeland</w:t>
      </w:r>
      <w:proofErr w:type="gramEnd"/>
      <w:r w:rsidR="00B564EF">
        <w:rPr>
          <w:rFonts w:ascii="Times New Roman" w:hAnsi="Times New Roman" w:cs="Times New Roman"/>
          <w:sz w:val="24"/>
          <w:szCs w:val="24"/>
        </w:rPr>
        <w:t xml:space="preserve"> dan McDonald, 2004). </w:t>
      </w:r>
      <w:r w:rsidR="00926BC2">
        <w:rPr>
          <w:rFonts w:ascii="Times New Roman" w:hAnsi="Times New Roman" w:cs="Times New Roman"/>
          <w:sz w:val="24"/>
          <w:szCs w:val="24"/>
        </w:rPr>
        <w:t xml:space="preserve"> Protektan dan jenis kemasan yang kedap udara dapat mencegah dan mengendalikan perkembangan </w:t>
      </w:r>
      <w:proofErr w:type="gramStart"/>
      <w:r w:rsidR="00926BC2">
        <w:rPr>
          <w:rFonts w:ascii="Times New Roman" w:hAnsi="Times New Roman" w:cs="Times New Roman"/>
          <w:sz w:val="24"/>
          <w:szCs w:val="24"/>
        </w:rPr>
        <w:t>ha</w:t>
      </w:r>
      <w:r w:rsidR="007904D8">
        <w:rPr>
          <w:rFonts w:ascii="Times New Roman" w:hAnsi="Times New Roman" w:cs="Times New Roman"/>
          <w:sz w:val="24"/>
          <w:szCs w:val="24"/>
        </w:rPr>
        <w:t>ma</w:t>
      </w:r>
      <w:proofErr w:type="gramEnd"/>
      <w:r w:rsidR="007904D8">
        <w:rPr>
          <w:rFonts w:ascii="Times New Roman" w:hAnsi="Times New Roman" w:cs="Times New Roman"/>
          <w:sz w:val="24"/>
          <w:szCs w:val="24"/>
        </w:rPr>
        <w:t xml:space="preserve"> gudang selama periode simpan.</w:t>
      </w:r>
    </w:p>
    <w:p w:rsidR="00D54A7D" w:rsidRDefault="00D54A7D" w:rsidP="00D82E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4A7D">
        <w:rPr>
          <w:rFonts w:ascii="Times New Roman" w:hAnsi="Times New Roman" w:cs="Times New Roman"/>
          <w:b/>
          <w:sz w:val="24"/>
          <w:szCs w:val="24"/>
        </w:rPr>
        <w:t xml:space="preserve">Populasi </w:t>
      </w:r>
      <w:r w:rsidRPr="00B639B5">
        <w:rPr>
          <w:rFonts w:ascii="Times New Roman" w:hAnsi="Times New Roman" w:cs="Times New Roman"/>
          <w:b/>
          <w:i/>
          <w:sz w:val="24"/>
          <w:szCs w:val="24"/>
        </w:rPr>
        <w:t>Callosobrochu</w:t>
      </w:r>
      <w:r w:rsidRPr="00D54A7D">
        <w:rPr>
          <w:rFonts w:ascii="Times New Roman" w:hAnsi="Times New Roman" w:cs="Times New Roman"/>
          <w:b/>
          <w:sz w:val="24"/>
          <w:szCs w:val="24"/>
        </w:rPr>
        <w:t>s sp, Benih Rusak, Bobot 100 butir, Daya Berkecambah dan Indeks Vigor</w:t>
      </w:r>
    </w:p>
    <w:p w:rsidR="00B639B5" w:rsidRDefault="00B639B5" w:rsidP="00D82E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5656F" w:rsidRPr="00926BC2" w:rsidRDefault="00B639B5" w:rsidP="00F912CC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Perkembangan populasi </w:t>
      </w:r>
      <w:r w:rsidRPr="00B564EF">
        <w:rPr>
          <w:rFonts w:ascii="Times New Roman" w:hAnsi="Times New Roman" w:cs="Times New Roman"/>
          <w:i/>
          <w:sz w:val="24"/>
          <w:szCs w:val="24"/>
        </w:rPr>
        <w:t>Callosobrochus</w:t>
      </w:r>
      <w:r>
        <w:rPr>
          <w:rFonts w:ascii="Times New Roman" w:hAnsi="Times New Roman" w:cs="Times New Roman"/>
          <w:sz w:val="24"/>
          <w:szCs w:val="24"/>
        </w:rPr>
        <w:t xml:space="preserve"> sp </w:t>
      </w:r>
      <w:r w:rsidR="00B564EF">
        <w:rPr>
          <w:rFonts w:ascii="Times New Roman" w:hAnsi="Times New Roman" w:cs="Times New Roman"/>
          <w:sz w:val="24"/>
          <w:szCs w:val="24"/>
        </w:rPr>
        <w:t xml:space="preserve">sebagaimana </w:t>
      </w:r>
      <w:proofErr w:type="gramStart"/>
      <w:r w:rsidR="00B564EF">
        <w:rPr>
          <w:rFonts w:ascii="Times New Roman" w:hAnsi="Times New Roman" w:cs="Times New Roman"/>
          <w:sz w:val="24"/>
          <w:szCs w:val="24"/>
        </w:rPr>
        <w:t>hama</w:t>
      </w:r>
      <w:proofErr w:type="gramEnd"/>
      <w:r w:rsidR="00B564EF">
        <w:rPr>
          <w:rFonts w:ascii="Times New Roman" w:hAnsi="Times New Roman" w:cs="Times New Roman"/>
          <w:sz w:val="24"/>
          <w:szCs w:val="24"/>
        </w:rPr>
        <w:t xml:space="preserve"> gudang lain </w:t>
      </w:r>
      <w:r>
        <w:rPr>
          <w:rFonts w:ascii="Times New Roman" w:hAnsi="Times New Roman" w:cs="Times New Roman"/>
          <w:sz w:val="24"/>
          <w:szCs w:val="24"/>
        </w:rPr>
        <w:t>selama penyimpanan dipengaruhi faktor internal dan eksternal benih. Kadar air yng tinggi lebih m</w:t>
      </w:r>
      <w:r w:rsidR="00B564EF">
        <w:rPr>
          <w:rFonts w:ascii="Times New Roman" w:hAnsi="Times New Roman" w:cs="Times New Roman"/>
          <w:sz w:val="24"/>
          <w:szCs w:val="24"/>
        </w:rPr>
        <w:t xml:space="preserve">udah diserang </w:t>
      </w:r>
      <w:proofErr w:type="gramStart"/>
      <w:r w:rsidR="00B564EF">
        <w:rPr>
          <w:rFonts w:ascii="Times New Roman" w:hAnsi="Times New Roman" w:cs="Times New Roman"/>
          <w:sz w:val="24"/>
          <w:szCs w:val="24"/>
        </w:rPr>
        <w:t>hama</w:t>
      </w:r>
      <w:proofErr w:type="gramEnd"/>
      <w:r w:rsidR="00B564EF">
        <w:rPr>
          <w:rFonts w:ascii="Times New Roman" w:hAnsi="Times New Roman" w:cs="Times New Roman"/>
          <w:sz w:val="24"/>
          <w:szCs w:val="24"/>
        </w:rPr>
        <w:t>, karena tekstur benih menjadi lebih lunak.</w:t>
      </w:r>
      <w:r w:rsidR="00926BC2">
        <w:rPr>
          <w:rFonts w:ascii="Times New Roman" w:hAnsi="Times New Roman" w:cs="Times New Roman"/>
          <w:sz w:val="24"/>
          <w:szCs w:val="24"/>
        </w:rPr>
        <w:t xml:space="preserve"> Selain itu adaya protektan yang mengganggu system respirasi serangga dapat menghambat perkembangan hama</w:t>
      </w:r>
      <w:proofErr w:type="gramStart"/>
      <w:r w:rsidR="00926BC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564EF">
        <w:rPr>
          <w:rFonts w:ascii="Times New Roman" w:hAnsi="Times New Roman" w:cs="Times New Roman"/>
          <w:sz w:val="24"/>
          <w:szCs w:val="24"/>
        </w:rPr>
        <w:t xml:space="preserve"> Kerusakngan jaringan cadangan makanan atau pun embrio akibat serangan </w:t>
      </w:r>
      <w:proofErr w:type="gramStart"/>
      <w:r w:rsidR="00B564EF">
        <w:rPr>
          <w:rFonts w:ascii="Times New Roman" w:hAnsi="Times New Roman" w:cs="Times New Roman"/>
          <w:sz w:val="24"/>
          <w:szCs w:val="24"/>
        </w:rPr>
        <w:t>hama</w:t>
      </w:r>
      <w:proofErr w:type="gramEnd"/>
      <w:r w:rsidR="00B564EF">
        <w:rPr>
          <w:rFonts w:ascii="Times New Roman" w:hAnsi="Times New Roman" w:cs="Times New Roman"/>
          <w:sz w:val="24"/>
          <w:szCs w:val="24"/>
        </w:rPr>
        <w:t xml:space="preserve"> menyebabkan bobot biji berkurang, benih kehilangan potensi berkecambah dan bervigor rendah.  </w:t>
      </w:r>
      <w:r>
        <w:rPr>
          <w:rFonts w:ascii="Times New Roman" w:hAnsi="Times New Roman" w:cs="Times New Roman"/>
        </w:rPr>
        <w:t xml:space="preserve"> </w:t>
      </w:r>
      <w:r w:rsidR="00926BC2">
        <w:rPr>
          <w:rFonts w:ascii="Times New Roman" w:hAnsi="Times New Roman" w:cs="Times New Roman"/>
        </w:rPr>
        <w:t xml:space="preserve">              </w:t>
      </w:r>
    </w:p>
    <w:p w:rsidR="00D54A7D" w:rsidRDefault="00E83620" w:rsidP="00D54A7D">
      <w:pPr>
        <w:pStyle w:val="NoSpacing"/>
      </w:pPr>
      <w:r>
        <w:rPr>
          <w:rFonts w:ascii="Times New Roman" w:hAnsi="Times New Roman" w:cs="Times New Roman"/>
        </w:rPr>
        <w:t xml:space="preserve"> </w:t>
      </w:r>
      <w:proofErr w:type="gramStart"/>
      <w:r w:rsidR="00D54A7D">
        <w:t>Tabel 2.</w:t>
      </w:r>
      <w:proofErr w:type="gramEnd"/>
      <w:r w:rsidR="00D54A7D">
        <w:t xml:space="preserve"> </w:t>
      </w:r>
      <w:r w:rsidR="00D54A7D" w:rsidRPr="005066C3">
        <w:t xml:space="preserve">Populasi </w:t>
      </w:r>
      <w:r w:rsidR="00D54A7D" w:rsidRPr="005066C3">
        <w:rPr>
          <w:b/>
          <w:i/>
        </w:rPr>
        <w:t xml:space="preserve">Callosobruchus chinensis </w:t>
      </w:r>
      <w:proofErr w:type="gramStart"/>
      <w:r w:rsidR="00D54A7D" w:rsidRPr="005066C3">
        <w:rPr>
          <w:b/>
        </w:rPr>
        <w:t>L</w:t>
      </w:r>
      <w:r w:rsidR="00D54A7D" w:rsidRPr="005066C3">
        <w:t xml:space="preserve">  dan</w:t>
      </w:r>
      <w:proofErr w:type="gramEnd"/>
      <w:r w:rsidR="00D54A7D" w:rsidRPr="005066C3">
        <w:t xml:space="preserve"> kerusakan  benih kecang hijau </w:t>
      </w:r>
      <w:r w:rsidR="00D54A7D">
        <w:t>yang diaplikasi</w:t>
      </w:r>
    </w:p>
    <w:p w:rsidR="00D54A7D" w:rsidRDefault="00D54A7D" w:rsidP="00D54A7D">
      <w:pPr>
        <w:pStyle w:val="NoSpacing"/>
      </w:pPr>
      <w:r>
        <w:t xml:space="preserve">               </w:t>
      </w:r>
      <w:proofErr w:type="gramStart"/>
      <w:r>
        <w:t>minyak</w:t>
      </w:r>
      <w:proofErr w:type="gramEnd"/>
      <w:r>
        <w:t xml:space="preserve"> cengkeh </w:t>
      </w:r>
      <w:r w:rsidRPr="005066C3">
        <w:t>setelah periode simpan</w:t>
      </w:r>
      <w:r>
        <w:t xml:space="preserve"> tiga bulan .</w:t>
      </w:r>
    </w:p>
    <w:p w:rsidR="00431970" w:rsidRDefault="00431970" w:rsidP="00D54A7D">
      <w:pPr>
        <w:pStyle w:val="NoSpacing"/>
      </w:pPr>
    </w:p>
    <w:tbl>
      <w:tblPr>
        <w:tblStyle w:val="TableGrid"/>
        <w:tblW w:w="0" w:type="auto"/>
        <w:tblInd w:w="562" w:type="dxa"/>
        <w:tblLayout w:type="fixed"/>
        <w:tblLook w:val="04A0"/>
      </w:tblPr>
      <w:tblGrid>
        <w:gridCol w:w="898"/>
        <w:gridCol w:w="1438"/>
        <w:gridCol w:w="900"/>
        <w:gridCol w:w="900"/>
        <w:gridCol w:w="900"/>
        <w:gridCol w:w="900"/>
        <w:gridCol w:w="990"/>
        <w:gridCol w:w="1147"/>
        <w:gridCol w:w="941"/>
      </w:tblGrid>
      <w:tr w:rsidR="008B404A" w:rsidTr="00674429">
        <w:trPr>
          <w:trHeight w:val="1070"/>
        </w:trPr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  <w:jc w:val="center"/>
            </w:pPr>
            <w:r>
              <w:t>Kombinasi kultivar &amp; Dosis minyak cengkeh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Kdar Air (%)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Selisih Kadar Air (%)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04A" w:rsidRDefault="00CE2435" w:rsidP="00DA3416">
            <w:pPr>
              <w:pStyle w:val="NoSpacing"/>
              <w:ind w:left="0"/>
            </w:pPr>
            <w:r>
              <w:t xml:space="preserve">Populasi </w:t>
            </w:r>
            <w:r w:rsidR="008B404A">
              <w:t xml:space="preserve">(ekor)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04A" w:rsidRDefault="00CE2435" w:rsidP="00DA3416">
            <w:pPr>
              <w:pStyle w:val="NoSpacing"/>
              <w:ind w:left="0"/>
            </w:pPr>
            <w:r>
              <w:t>Benih rusak (%)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Bobot 100 butir (g)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Daya Berkecambah (%)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Indeks Vigor</w:t>
            </w:r>
          </w:p>
        </w:tc>
      </w:tr>
      <w:tr w:rsidR="008B404A" w:rsidTr="00674429">
        <w:tc>
          <w:tcPr>
            <w:tcW w:w="8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04A" w:rsidRDefault="008B404A" w:rsidP="00D54A7D">
            <w:pPr>
              <w:pStyle w:val="NoSpacing"/>
              <w:ind w:left="0"/>
            </w:pPr>
          </w:p>
          <w:p w:rsidR="008B404A" w:rsidRDefault="008B404A" w:rsidP="00D54A7D">
            <w:pPr>
              <w:pStyle w:val="NoSpacing"/>
              <w:ind w:left="0"/>
            </w:pPr>
          </w:p>
          <w:p w:rsidR="008B404A" w:rsidRDefault="008B404A" w:rsidP="00D54A7D">
            <w:pPr>
              <w:pStyle w:val="NoSpacing"/>
              <w:ind w:left="0"/>
            </w:pPr>
            <w:r>
              <w:t>Vima-1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04A" w:rsidRPr="005066C3" w:rsidRDefault="008B404A" w:rsidP="00DA3416">
            <w:pPr>
              <w:pStyle w:val="NoSpacing"/>
              <w:ind w:left="0"/>
              <w:rPr>
                <w:vertAlign w:val="superscript"/>
              </w:rPr>
            </w:pPr>
            <w:r>
              <w:t>0,0 mL kg</w:t>
            </w:r>
            <w:r>
              <w:rPr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12.64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0.24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25.67</w:t>
            </w:r>
            <w:r w:rsidR="00CE2435">
              <w:t xml:space="preserve"> 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19.33</w:t>
            </w:r>
            <w:r w:rsidR="00CE2435">
              <w:t xml:space="preserve"> 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5.34</w:t>
            </w:r>
            <w:r w:rsidR="00CE2435">
              <w:t xml:space="preserve"> a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89.33</w:t>
            </w:r>
            <w:r w:rsidR="00CE2435">
              <w:t xml:space="preserve">  b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8.32</w:t>
            </w:r>
            <w:r w:rsidR="00CE2435">
              <w:t xml:space="preserve">  a</w:t>
            </w:r>
          </w:p>
        </w:tc>
      </w:tr>
      <w:tr w:rsidR="008B404A" w:rsidTr="00674429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54A7D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8B404A" w:rsidRPr="005066C3" w:rsidRDefault="008B404A" w:rsidP="00DA3416">
            <w:pPr>
              <w:pStyle w:val="NoSpacing"/>
              <w:ind w:left="0"/>
              <w:rPr>
                <w:vertAlign w:val="superscript"/>
              </w:rPr>
            </w:pPr>
            <w:r>
              <w:t>0,5 mL kg</w:t>
            </w:r>
            <w:r>
              <w:rPr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10.33</w:t>
            </w:r>
            <w:r w:rsidR="00CE2435">
              <w:t xml:space="preserve"> 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 xml:space="preserve"> </w:t>
            </w:r>
            <w:r w:rsidR="00CE2435">
              <w:t xml:space="preserve"> </w:t>
            </w:r>
            <w:r>
              <w:t>4.33</w:t>
            </w:r>
            <w:r w:rsidR="00CE2435">
              <w:t xml:space="preserve"> 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5.26</w:t>
            </w:r>
            <w:r w:rsidR="00CE2435">
              <w:t xml:space="preserve">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92.00</w:t>
            </w:r>
            <w:r w:rsidR="00CE2435">
              <w:t xml:space="preserve">  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8.79</w:t>
            </w:r>
            <w:r w:rsidR="00CE2435">
              <w:t xml:space="preserve">  a</w:t>
            </w:r>
          </w:p>
        </w:tc>
      </w:tr>
      <w:tr w:rsidR="008B404A" w:rsidTr="00674429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54A7D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8B404A" w:rsidRPr="005066C3" w:rsidRDefault="008B404A" w:rsidP="00DA3416">
            <w:pPr>
              <w:pStyle w:val="NoSpacing"/>
              <w:ind w:left="0"/>
              <w:rPr>
                <w:vertAlign w:val="superscript"/>
              </w:rPr>
            </w:pPr>
            <w:r>
              <w:t>1,0 mL kg</w:t>
            </w:r>
            <w:r>
              <w:rPr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12.26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-0.14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14.67</w:t>
            </w:r>
            <w:r w:rsidR="00CE2435">
              <w:t xml:space="preserve"> 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 xml:space="preserve"> 6.00</w:t>
            </w:r>
            <w:r w:rsidR="00CE2435">
              <w:t xml:space="preserve">  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5.47</w:t>
            </w:r>
            <w:r w:rsidR="00CE2435">
              <w:t xml:space="preserve">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90.07</w:t>
            </w:r>
            <w:r w:rsidR="00CE2435">
              <w:t xml:space="preserve">  b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8.41</w:t>
            </w:r>
            <w:r w:rsidR="00CE2435">
              <w:t xml:space="preserve">  a</w:t>
            </w:r>
          </w:p>
        </w:tc>
      </w:tr>
      <w:tr w:rsidR="008B404A" w:rsidTr="00674429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54A7D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8B404A" w:rsidRPr="005066C3" w:rsidRDefault="008B404A" w:rsidP="00DA3416">
            <w:pPr>
              <w:pStyle w:val="NoSpacing"/>
              <w:ind w:left="0"/>
              <w:rPr>
                <w:vertAlign w:val="superscript"/>
              </w:rPr>
            </w:pPr>
            <w:r>
              <w:t>1,5 mL kg</w:t>
            </w:r>
            <w:r>
              <w:rPr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12.32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-0.08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12.33</w:t>
            </w:r>
            <w:r w:rsidR="00CE2435">
              <w:t xml:space="preserve"> 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 xml:space="preserve"> 5.33</w:t>
            </w:r>
            <w:r w:rsidR="00CE2435">
              <w:t xml:space="preserve"> 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5.39</w:t>
            </w:r>
            <w:r w:rsidR="00CE2435">
              <w:t xml:space="preserve">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92.67</w:t>
            </w:r>
            <w:r w:rsidR="00CE2435">
              <w:t xml:space="preserve">  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8.58</w:t>
            </w:r>
            <w:r w:rsidR="00CE2435">
              <w:t xml:space="preserve">  a</w:t>
            </w:r>
          </w:p>
        </w:tc>
      </w:tr>
      <w:tr w:rsidR="008B404A" w:rsidTr="00674429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54A7D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2,0 mL kg</w:t>
            </w:r>
            <w:r>
              <w:rPr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12.38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-0.02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17.00</w:t>
            </w:r>
            <w:r w:rsidR="00CE2435">
              <w:t xml:space="preserve"> 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10.00</w:t>
            </w:r>
            <w:r w:rsidR="00CE2435">
              <w:t xml:space="preserve"> 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5.39</w:t>
            </w:r>
            <w:r w:rsidR="00CE2435">
              <w:t xml:space="preserve">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87.33</w:t>
            </w:r>
            <w:r w:rsidR="00CE2435">
              <w:t xml:space="preserve">  b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8.36</w:t>
            </w:r>
            <w:r w:rsidR="00CE2435">
              <w:t xml:space="preserve">  a</w:t>
            </w:r>
          </w:p>
        </w:tc>
      </w:tr>
      <w:tr w:rsidR="008B404A" w:rsidTr="00674429"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54A7D">
            <w:pPr>
              <w:pStyle w:val="NoSpacing"/>
              <w:ind w:left="0"/>
            </w:pPr>
          </w:p>
          <w:p w:rsidR="008B404A" w:rsidRDefault="008B404A" w:rsidP="00D54A7D">
            <w:pPr>
              <w:pStyle w:val="NoSpacing"/>
              <w:ind w:left="0"/>
            </w:pPr>
          </w:p>
          <w:p w:rsidR="008B404A" w:rsidRDefault="008B404A" w:rsidP="00D54A7D">
            <w:pPr>
              <w:pStyle w:val="NoSpacing"/>
              <w:ind w:left="0"/>
            </w:pPr>
            <w:r>
              <w:t>Vima-3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8B404A" w:rsidRPr="005066C3" w:rsidRDefault="008B404A" w:rsidP="00DA3416">
            <w:pPr>
              <w:pStyle w:val="NoSpacing"/>
              <w:ind w:left="0"/>
              <w:rPr>
                <w:vertAlign w:val="superscript"/>
              </w:rPr>
            </w:pPr>
            <w:r>
              <w:t>0,0 mL kg</w:t>
            </w:r>
            <w:r>
              <w:rPr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12.18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11.00</w:t>
            </w:r>
            <w:r w:rsidR="00CE2435">
              <w:t xml:space="preserve"> 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CE2435" w:rsidP="00DA3416">
            <w:pPr>
              <w:pStyle w:val="NoSpacing"/>
              <w:ind w:left="0"/>
            </w:pPr>
            <w:r>
              <w:t xml:space="preserve"> </w:t>
            </w:r>
            <w:r w:rsidR="008B404A">
              <w:t>1.00</w:t>
            </w:r>
            <w:r>
              <w:t xml:space="preserve"> 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5.65</w:t>
            </w:r>
            <w:r w:rsidR="00CE2435">
              <w:t xml:space="preserve">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91.00</w:t>
            </w:r>
            <w:r w:rsidR="00CE2435">
              <w:t xml:space="preserve">  b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8</w:t>
            </w:r>
            <w:r w:rsidR="00FF2795">
              <w:t>.4</w:t>
            </w:r>
            <w:r>
              <w:t>0</w:t>
            </w:r>
            <w:r w:rsidR="00CE2435">
              <w:t xml:space="preserve">  a</w:t>
            </w:r>
          </w:p>
        </w:tc>
      </w:tr>
      <w:tr w:rsidR="008B404A" w:rsidTr="00674429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54A7D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8B404A" w:rsidRPr="005066C3" w:rsidRDefault="008B404A" w:rsidP="00DA3416">
            <w:pPr>
              <w:pStyle w:val="NoSpacing"/>
              <w:ind w:left="0"/>
              <w:rPr>
                <w:vertAlign w:val="superscript"/>
              </w:rPr>
            </w:pPr>
            <w:r>
              <w:t>0,5 mL kg</w:t>
            </w:r>
            <w:r>
              <w:rPr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11.67</w:t>
            </w:r>
            <w:r w:rsidR="00CE2435">
              <w:t xml:space="preserve"> 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CE2435" w:rsidP="00DA3416">
            <w:pPr>
              <w:pStyle w:val="NoSpacing"/>
              <w:ind w:left="0"/>
            </w:pPr>
            <w:r>
              <w:t xml:space="preserve"> </w:t>
            </w:r>
            <w:r w:rsidR="008B404A">
              <w:t>1.33</w:t>
            </w:r>
            <w:r>
              <w:t xml:space="preserve"> 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5.64</w:t>
            </w:r>
            <w:r w:rsidR="00CE2435">
              <w:t xml:space="preserve">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90.67</w:t>
            </w:r>
            <w:r w:rsidR="00CE2435">
              <w:t xml:space="preserve">  b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8.59</w:t>
            </w:r>
            <w:r w:rsidR="00CE2435">
              <w:t xml:space="preserve">  a</w:t>
            </w:r>
          </w:p>
        </w:tc>
      </w:tr>
      <w:tr w:rsidR="008B404A" w:rsidTr="00674429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54A7D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8B404A" w:rsidRPr="005066C3" w:rsidRDefault="008B404A" w:rsidP="00DA3416">
            <w:pPr>
              <w:pStyle w:val="NoSpacing"/>
              <w:ind w:left="0"/>
              <w:rPr>
                <w:vertAlign w:val="superscript"/>
              </w:rPr>
            </w:pPr>
            <w:r>
              <w:t>1,0 mL kg</w:t>
            </w:r>
            <w:r>
              <w:rPr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11.06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10.33</w:t>
            </w:r>
            <w:r w:rsidR="00CE2435">
              <w:t xml:space="preserve"> 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CE2435" w:rsidP="00DA3416">
            <w:pPr>
              <w:pStyle w:val="NoSpacing"/>
              <w:ind w:left="0"/>
            </w:pPr>
            <w:r>
              <w:t xml:space="preserve"> </w:t>
            </w:r>
            <w:r w:rsidR="008B404A">
              <w:t>0.67</w:t>
            </w:r>
            <w:r>
              <w:t xml:space="preserve"> 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5.60</w:t>
            </w:r>
            <w:r w:rsidR="00CE2435">
              <w:t xml:space="preserve">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94.00</w:t>
            </w:r>
            <w:r w:rsidR="00CE2435">
              <w:t xml:space="preserve">  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8.82</w:t>
            </w:r>
            <w:r w:rsidR="00CE2435">
              <w:t xml:space="preserve">  a</w:t>
            </w:r>
          </w:p>
        </w:tc>
      </w:tr>
      <w:tr w:rsidR="008B404A" w:rsidTr="00674429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54A7D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8B404A" w:rsidRPr="005066C3" w:rsidRDefault="008B404A" w:rsidP="00DA3416">
            <w:pPr>
              <w:pStyle w:val="NoSpacing"/>
              <w:ind w:left="0"/>
              <w:rPr>
                <w:vertAlign w:val="superscript"/>
              </w:rPr>
            </w:pPr>
            <w:r>
              <w:t>1,5 mL kg</w:t>
            </w:r>
            <w:r>
              <w:rPr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10.99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0.79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13.67</w:t>
            </w:r>
            <w:r w:rsidR="00CE2435">
              <w:t xml:space="preserve"> 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CE2435" w:rsidP="00DA3416">
            <w:pPr>
              <w:pStyle w:val="NoSpacing"/>
              <w:ind w:left="0"/>
            </w:pPr>
            <w:r>
              <w:t xml:space="preserve"> </w:t>
            </w:r>
            <w:r w:rsidR="008B404A">
              <w:t>3.33</w:t>
            </w:r>
            <w:r>
              <w:t xml:space="preserve"> 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5.64</w:t>
            </w:r>
            <w:r w:rsidR="00CE2435">
              <w:t xml:space="preserve">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93.33</w:t>
            </w:r>
            <w:r w:rsidR="00CE2435">
              <w:t xml:space="preserve">  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8.77</w:t>
            </w:r>
            <w:r w:rsidR="00CE2435">
              <w:t xml:space="preserve">  a</w:t>
            </w:r>
          </w:p>
        </w:tc>
      </w:tr>
      <w:tr w:rsidR="008B404A" w:rsidTr="00674429"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04A" w:rsidRDefault="008B404A" w:rsidP="00D54A7D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2,0 mL kg</w:t>
            </w:r>
            <w:r>
              <w:rPr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10.59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0.39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10.00</w:t>
            </w:r>
            <w:r w:rsidR="00CE2435">
              <w:t xml:space="preserve"> 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04A" w:rsidRDefault="00CE2435" w:rsidP="00DA3416">
            <w:pPr>
              <w:pStyle w:val="NoSpacing"/>
              <w:ind w:left="0"/>
            </w:pPr>
            <w:r>
              <w:t xml:space="preserve"> </w:t>
            </w:r>
            <w:r w:rsidR="008B404A">
              <w:t>0.33</w:t>
            </w:r>
            <w:r>
              <w:t xml:space="preserve"> 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5.63</w:t>
            </w:r>
            <w:r w:rsidR="00CE2435">
              <w:t xml:space="preserve"> 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96.67</w:t>
            </w:r>
            <w:r w:rsidR="00CE2435">
              <w:t xml:space="preserve">  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04A" w:rsidRDefault="008B404A" w:rsidP="00DA3416">
            <w:pPr>
              <w:pStyle w:val="NoSpacing"/>
              <w:ind w:left="0"/>
            </w:pPr>
            <w:r>
              <w:t>9.17</w:t>
            </w:r>
            <w:r w:rsidR="00CE2435">
              <w:t xml:space="preserve">  a</w:t>
            </w:r>
          </w:p>
        </w:tc>
      </w:tr>
    </w:tbl>
    <w:p w:rsidR="00431970" w:rsidRDefault="00674429" w:rsidP="00D54A7D">
      <w:pPr>
        <w:pStyle w:val="NoSpacing"/>
      </w:pPr>
      <w:proofErr w:type="gramStart"/>
      <w:r>
        <w:t>Keterangan :</w:t>
      </w:r>
      <w:proofErr w:type="gramEnd"/>
      <w:r>
        <w:t xml:space="preserve">  Angka yang diikuti huruf yang sama pada kolom yang sama  dinyatakan tidak  berbeda nyata  menurut uji Skott-knot pada taraf 5 %</w:t>
      </w:r>
    </w:p>
    <w:p w:rsidR="00FF2795" w:rsidRDefault="00FF2795" w:rsidP="00FF2795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FF2795" w:rsidRDefault="00FF2795" w:rsidP="00FF2795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Hasil analisis uji statistic membuktikan bahwa perbedaan jumlah benih yang rusak akibat</w:t>
      </w:r>
    </w:p>
    <w:p w:rsidR="00FF2795" w:rsidRDefault="00FF2795" w:rsidP="00FF2795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>serangan</w:t>
      </w:r>
      <w:proofErr w:type="gramEnd"/>
      <w:r>
        <w:rPr>
          <w:rFonts w:ascii="Times New Roman" w:hAnsi="Times New Roman" w:cs="Times New Roman"/>
        </w:rPr>
        <w:t xml:space="preserve"> hama yang berdampak pada daya berkecambah antara b</w:t>
      </w:r>
      <w:r w:rsidR="00F912CC">
        <w:rPr>
          <w:rFonts w:ascii="Times New Roman" w:hAnsi="Times New Roman" w:cs="Times New Roman"/>
        </w:rPr>
        <w:t>enih kultivar  Vima-1 dan Vima-3</w:t>
      </w:r>
      <w:r>
        <w:rPr>
          <w:rFonts w:ascii="Times New Roman" w:hAnsi="Times New Roman" w:cs="Times New Roman"/>
        </w:rPr>
        <w:t xml:space="preserve">  </w:t>
      </w:r>
    </w:p>
    <w:p w:rsidR="00FF2795" w:rsidRDefault="00FF279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>disebabkan</w:t>
      </w:r>
      <w:proofErr w:type="gramEnd"/>
      <w:r>
        <w:rPr>
          <w:rFonts w:ascii="Times New Roman" w:hAnsi="Times New Roman" w:cs="Times New Roman"/>
        </w:rPr>
        <w:t xml:space="preserve"> sejak awal kadar air Vima-3 lebih rendah (Tabel 2).  </w:t>
      </w:r>
      <w:proofErr w:type="gramStart"/>
      <w:r>
        <w:rPr>
          <w:rFonts w:ascii="Times New Roman" w:hAnsi="Times New Roman" w:cs="Times New Roman"/>
        </w:rPr>
        <w:t>Persentase  b</w:t>
      </w:r>
      <w:r w:rsidR="00B5656F">
        <w:rPr>
          <w:rFonts w:ascii="Times New Roman" w:hAnsi="Times New Roman" w:cs="Times New Roman"/>
        </w:rPr>
        <w:t>enih</w:t>
      </w:r>
      <w:proofErr w:type="gramEnd"/>
      <w:r>
        <w:rPr>
          <w:rFonts w:ascii="Times New Roman" w:hAnsi="Times New Roman" w:cs="Times New Roman"/>
        </w:rPr>
        <w:t xml:space="preserve"> rusak kultivar</w:t>
      </w:r>
    </w:p>
    <w:p w:rsidR="00FF2795" w:rsidRDefault="00FF279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565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proofErr w:type="gramStart"/>
      <w:r w:rsidR="00B5656F">
        <w:rPr>
          <w:rFonts w:ascii="Times New Roman" w:hAnsi="Times New Roman" w:cs="Times New Roman"/>
        </w:rPr>
        <w:t>Vima-1 yang t</w:t>
      </w:r>
      <w:r>
        <w:rPr>
          <w:rFonts w:ascii="Times New Roman" w:hAnsi="Times New Roman" w:cs="Times New Roman"/>
        </w:rPr>
        <w:t>idak diberi minyak cengkeh paling tinggi dibandingk dengan perlakuan lainnya.</w:t>
      </w:r>
      <w:proofErr w:type="gramEnd"/>
      <w:r w:rsidR="00B5656F">
        <w:rPr>
          <w:rFonts w:ascii="Times New Roman" w:hAnsi="Times New Roman" w:cs="Times New Roman"/>
        </w:rPr>
        <w:t xml:space="preserve"> </w:t>
      </w:r>
    </w:p>
    <w:p w:rsidR="00FF2795" w:rsidRDefault="00FF279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565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B5656F">
        <w:rPr>
          <w:rFonts w:ascii="Times New Roman" w:hAnsi="Times New Roman" w:cs="Times New Roman"/>
        </w:rPr>
        <w:t>Bahkan  jumlah</w:t>
      </w:r>
      <w:proofErr w:type="gramEnd"/>
      <w:r w:rsidR="00B5656F">
        <w:rPr>
          <w:rFonts w:ascii="Times New Roman" w:hAnsi="Times New Roman" w:cs="Times New Roman"/>
        </w:rPr>
        <w:t xml:space="preserve"> kerusakan benih kultivar  Vima-1 yang diberi minyak cengkehpun secara nyata</w:t>
      </w:r>
    </w:p>
    <w:p w:rsidR="008F1DD5" w:rsidRDefault="00FF279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5656F">
        <w:rPr>
          <w:rFonts w:ascii="Times New Roman" w:hAnsi="Times New Roman" w:cs="Times New Roman"/>
        </w:rPr>
        <w:t xml:space="preserve"> </w:t>
      </w:r>
      <w:proofErr w:type="gramStart"/>
      <w:r w:rsidR="00B5656F">
        <w:rPr>
          <w:rFonts w:ascii="Times New Roman" w:hAnsi="Times New Roman" w:cs="Times New Roman"/>
        </w:rPr>
        <w:t>lebih</w:t>
      </w:r>
      <w:proofErr w:type="gramEnd"/>
      <w:r w:rsidR="00B5656F">
        <w:rPr>
          <w:rFonts w:ascii="Times New Roman" w:hAnsi="Times New Roman" w:cs="Times New Roman"/>
        </w:rPr>
        <w:t xml:space="preserve"> banyak dibandingkan benih kultivar Vima-3</w:t>
      </w:r>
      <w:r>
        <w:rPr>
          <w:rFonts w:ascii="Times New Roman" w:hAnsi="Times New Roman" w:cs="Times New Roman"/>
        </w:rPr>
        <w:t xml:space="preserve">.  </w:t>
      </w:r>
    </w:p>
    <w:p w:rsidR="008F1DD5" w:rsidRDefault="008F1DD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Dosis yang terlalu rendah maupun yang </w:t>
      </w:r>
      <w:proofErr w:type="gramStart"/>
      <w:r>
        <w:rPr>
          <w:rFonts w:ascii="Times New Roman" w:hAnsi="Times New Roman" w:cs="Times New Roman"/>
        </w:rPr>
        <w:t xml:space="preserve">tinggi </w:t>
      </w:r>
      <w:r w:rsidR="00FF2795">
        <w:rPr>
          <w:rFonts w:ascii="Times New Roman" w:hAnsi="Times New Roman" w:cs="Times New Roman"/>
        </w:rPr>
        <w:t xml:space="preserve"> berdampak</w:t>
      </w:r>
      <w:proofErr w:type="gramEnd"/>
      <w:r w:rsidR="00FF2795">
        <w:rPr>
          <w:rFonts w:ascii="Times New Roman" w:hAnsi="Times New Roman" w:cs="Times New Roman"/>
        </w:rPr>
        <w:t xml:space="preserve"> negative</w:t>
      </w:r>
      <w:r>
        <w:rPr>
          <w:rFonts w:ascii="Times New Roman" w:hAnsi="Times New Roman" w:cs="Times New Roman"/>
        </w:rPr>
        <w:t xml:space="preserve"> terhadap </w:t>
      </w:r>
      <w:r w:rsidR="00FF2795">
        <w:rPr>
          <w:rFonts w:ascii="Times New Roman" w:hAnsi="Times New Roman" w:cs="Times New Roman"/>
        </w:rPr>
        <w:t xml:space="preserve">daya berkecambah </w:t>
      </w:r>
    </w:p>
    <w:p w:rsidR="008F1DD5" w:rsidRDefault="008F1DD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FF27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FF2795">
        <w:rPr>
          <w:rFonts w:ascii="Times New Roman" w:hAnsi="Times New Roman" w:cs="Times New Roman"/>
        </w:rPr>
        <w:t>tetapi</w:t>
      </w:r>
      <w:proofErr w:type="gramEnd"/>
      <w:r w:rsidR="00FF2795">
        <w:rPr>
          <w:rFonts w:ascii="Times New Roman" w:hAnsi="Times New Roman" w:cs="Times New Roman"/>
        </w:rPr>
        <w:t xml:space="preserve">  dampaknya tidak nyata terhadap  vigor. </w:t>
      </w:r>
      <w:r>
        <w:rPr>
          <w:rFonts w:ascii="Times New Roman" w:hAnsi="Times New Roman" w:cs="Times New Roman"/>
        </w:rPr>
        <w:t xml:space="preserve">Hal ini sejalan dengan hasil penelitian </w:t>
      </w:r>
      <w:proofErr w:type="gramStart"/>
      <w:r>
        <w:rPr>
          <w:rFonts w:ascii="Times New Roman" w:hAnsi="Times New Roman" w:cs="Times New Roman"/>
        </w:rPr>
        <w:t>Sumadi.,</w:t>
      </w:r>
      <w:proofErr w:type="gramEnd"/>
      <w:r>
        <w:rPr>
          <w:rFonts w:ascii="Times New Roman" w:hAnsi="Times New Roman" w:cs="Times New Roman"/>
        </w:rPr>
        <w:t xml:space="preserve"> dkk</w:t>
      </w:r>
    </w:p>
    <w:p w:rsidR="008F1DD5" w:rsidRDefault="008F1DD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</w:t>
      </w:r>
      <w:proofErr w:type="gramStart"/>
      <w:r>
        <w:rPr>
          <w:rFonts w:ascii="Times New Roman" w:hAnsi="Times New Roman" w:cs="Times New Roman"/>
        </w:rPr>
        <w:t>,2008</w:t>
      </w:r>
      <w:proofErr w:type="gramEnd"/>
      <w:r>
        <w:rPr>
          <w:rFonts w:ascii="Times New Roman" w:hAnsi="Times New Roman" w:cs="Times New Roman"/>
        </w:rPr>
        <w:t xml:space="preserve"> a dan b) serta Mebarkia., dkk (2010)</w:t>
      </w:r>
    </w:p>
    <w:p w:rsidR="008F1DD5" w:rsidRDefault="008F1DD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FF2795">
        <w:rPr>
          <w:rFonts w:ascii="Times New Roman" w:hAnsi="Times New Roman" w:cs="Times New Roman"/>
        </w:rPr>
        <w:t xml:space="preserve">Mutu fisiologis benih </w:t>
      </w:r>
      <w:proofErr w:type="gramStart"/>
      <w:r w:rsidR="00FF2795">
        <w:rPr>
          <w:rFonts w:ascii="Times New Roman" w:hAnsi="Times New Roman" w:cs="Times New Roman"/>
        </w:rPr>
        <w:t>kacang</w:t>
      </w:r>
      <w:r>
        <w:rPr>
          <w:rFonts w:ascii="Times New Roman" w:hAnsi="Times New Roman" w:cs="Times New Roman"/>
        </w:rPr>
        <w:t xml:space="preserve"> </w:t>
      </w:r>
      <w:r w:rsidR="00FF2795">
        <w:rPr>
          <w:rFonts w:ascii="Times New Roman" w:hAnsi="Times New Roman" w:cs="Times New Roman"/>
        </w:rPr>
        <w:t xml:space="preserve"> hijau</w:t>
      </w:r>
      <w:proofErr w:type="gramEnd"/>
      <w:r w:rsidR="00FF2795">
        <w:rPr>
          <w:rFonts w:ascii="Times New Roman" w:hAnsi="Times New Roman" w:cs="Times New Roman"/>
        </w:rPr>
        <w:t xml:space="preserve"> sampai penyimpanan tiga bulan masih tergolong baik.</w:t>
      </w:r>
    </w:p>
    <w:p w:rsidR="008F1DD5" w:rsidRDefault="008F1DD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F2795">
        <w:rPr>
          <w:rFonts w:ascii="Times New Roman" w:hAnsi="Times New Roman" w:cs="Times New Roman"/>
        </w:rPr>
        <w:t xml:space="preserve"> Daya berkacambah masih di atas </w:t>
      </w:r>
      <w:proofErr w:type="gramStart"/>
      <w:r w:rsidR="00FF2795">
        <w:rPr>
          <w:rFonts w:ascii="Times New Roman" w:hAnsi="Times New Roman" w:cs="Times New Roman"/>
        </w:rPr>
        <w:t>rata</w:t>
      </w:r>
      <w:r>
        <w:rPr>
          <w:rFonts w:ascii="Times New Roman" w:hAnsi="Times New Roman" w:cs="Times New Roman"/>
        </w:rPr>
        <w:t xml:space="preserve"> </w:t>
      </w:r>
      <w:r w:rsidR="00FF2795">
        <w:rPr>
          <w:rFonts w:ascii="Times New Roman" w:hAnsi="Times New Roman" w:cs="Times New Roman"/>
        </w:rPr>
        <w:t xml:space="preserve"> rata</w:t>
      </w:r>
      <w:proofErr w:type="gramEnd"/>
      <w:r w:rsidR="00FF2795">
        <w:rPr>
          <w:rFonts w:ascii="Times New Roman" w:hAnsi="Times New Roman" w:cs="Times New Roman"/>
        </w:rPr>
        <w:t xml:space="preserve"> batas minimal kriteria benih bersertifikat. Ukuran benih</w:t>
      </w:r>
    </w:p>
    <w:p w:rsidR="008F1DD5" w:rsidRDefault="008F1DD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F27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FF2795">
        <w:rPr>
          <w:rFonts w:ascii="Times New Roman" w:hAnsi="Times New Roman" w:cs="Times New Roman"/>
        </w:rPr>
        <w:t>yang</w:t>
      </w:r>
      <w:proofErr w:type="gramEnd"/>
      <w:r w:rsidR="00FF2795">
        <w:rPr>
          <w:rFonts w:ascii="Times New Roman" w:hAnsi="Times New Roman" w:cs="Times New Roman"/>
        </w:rPr>
        <w:t xml:space="preserve"> relative kecil, kandungan protei</w:t>
      </w:r>
      <w:r>
        <w:rPr>
          <w:rFonts w:ascii="Times New Roman" w:hAnsi="Times New Roman" w:cs="Times New Roman"/>
        </w:rPr>
        <w:t xml:space="preserve">n </w:t>
      </w:r>
      <w:r w:rsidR="00FF2795">
        <w:rPr>
          <w:rFonts w:ascii="Times New Roman" w:hAnsi="Times New Roman" w:cs="Times New Roman"/>
        </w:rPr>
        <w:t>dan lemak yang lebih rendah dibandingkan kedelai</w:t>
      </w:r>
      <w:r w:rsidR="002F60A2">
        <w:rPr>
          <w:rFonts w:ascii="Times New Roman" w:hAnsi="Times New Roman" w:cs="Times New Roman"/>
        </w:rPr>
        <w:t xml:space="preserve"> dan kadar </w:t>
      </w:r>
    </w:p>
    <w:p w:rsidR="008F1DD5" w:rsidRDefault="008F1DD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="002F60A2">
        <w:rPr>
          <w:rFonts w:ascii="Times New Roman" w:hAnsi="Times New Roman" w:cs="Times New Roman"/>
        </w:rPr>
        <w:t>air</w:t>
      </w:r>
      <w:proofErr w:type="gramEnd"/>
      <w:r w:rsidR="002F60A2">
        <w:rPr>
          <w:rFonts w:ascii="Times New Roman" w:hAnsi="Times New Roman" w:cs="Times New Roman"/>
        </w:rPr>
        <w:t xml:space="preserve"> yang ada pada batas aman untu</w:t>
      </w:r>
      <w:r>
        <w:rPr>
          <w:rFonts w:ascii="Times New Roman" w:hAnsi="Times New Roman" w:cs="Times New Roman"/>
        </w:rPr>
        <w:t xml:space="preserve">k </w:t>
      </w:r>
      <w:r w:rsidR="002F60A2">
        <w:rPr>
          <w:rFonts w:ascii="Times New Roman" w:hAnsi="Times New Roman" w:cs="Times New Roman"/>
        </w:rPr>
        <w:t>penyimpanan  diduga sebagai faktor yang mempertahankan daya</w:t>
      </w:r>
    </w:p>
    <w:p w:rsidR="002F60A2" w:rsidRDefault="008F1DD5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F60A2">
        <w:rPr>
          <w:rFonts w:ascii="Times New Roman" w:hAnsi="Times New Roman" w:cs="Times New Roman"/>
        </w:rPr>
        <w:t xml:space="preserve"> </w:t>
      </w:r>
      <w:proofErr w:type="gramStart"/>
      <w:r w:rsidR="002F60A2">
        <w:rPr>
          <w:rFonts w:ascii="Times New Roman" w:hAnsi="Times New Roman" w:cs="Times New Roman"/>
        </w:rPr>
        <w:t>simpan</w:t>
      </w:r>
      <w:proofErr w:type="gramEnd"/>
      <w:r w:rsidR="002F60A2">
        <w:rPr>
          <w:rFonts w:ascii="Times New Roman" w:hAnsi="Times New Roman" w:cs="Times New Roman"/>
        </w:rPr>
        <w:t xml:space="preserve"> benih. </w:t>
      </w:r>
    </w:p>
    <w:p w:rsidR="002F60A2" w:rsidRDefault="002F60A2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Berdasarkan hasil penelitian percobaan pertama, maka memperpanjang periode simpan  </w:t>
      </w:r>
    </w:p>
    <w:p w:rsidR="002F60A2" w:rsidRDefault="002F60A2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>benih  yang</w:t>
      </w:r>
      <w:proofErr w:type="gramEnd"/>
      <w:r>
        <w:rPr>
          <w:rFonts w:ascii="Times New Roman" w:hAnsi="Times New Roman" w:cs="Times New Roman"/>
        </w:rPr>
        <w:t xml:space="preserve"> dikemas pada berbagai jenis kemasan. Mulai dari </w:t>
      </w:r>
      <w:proofErr w:type="gramStart"/>
      <w:r>
        <w:rPr>
          <w:rFonts w:ascii="Times New Roman" w:hAnsi="Times New Roman" w:cs="Times New Roman"/>
        </w:rPr>
        <w:t>yang  berisifat</w:t>
      </w:r>
      <w:proofErr w:type="gramEnd"/>
      <w:r>
        <w:rPr>
          <w:rFonts w:ascii="Times New Roman" w:hAnsi="Times New Roman" w:cs="Times New Roman"/>
        </w:rPr>
        <w:t xml:space="preserve"> kurang kedap udara  ( </w:t>
      </w:r>
    </w:p>
    <w:p w:rsidR="002F60A2" w:rsidRDefault="002F60A2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>karung</w:t>
      </w:r>
      <w:proofErr w:type="gramEnd"/>
      <w:r>
        <w:rPr>
          <w:rFonts w:ascii="Times New Roman" w:hAnsi="Times New Roman" w:cs="Times New Roman"/>
        </w:rPr>
        <w:t xml:space="preserve"> terigu dan amplop kertas)  sampai paling kedap ( botol kaca).</w:t>
      </w:r>
      <w:r w:rsidR="00DA3416">
        <w:rPr>
          <w:rFonts w:ascii="Times New Roman" w:hAnsi="Times New Roman" w:cs="Times New Roman"/>
        </w:rPr>
        <w:t xml:space="preserve"> Data hasil uji statistik</w:t>
      </w:r>
      <w:r>
        <w:rPr>
          <w:rFonts w:ascii="Times New Roman" w:hAnsi="Times New Roman" w:cs="Times New Roman"/>
        </w:rPr>
        <w:t xml:space="preserve"> setelah</w:t>
      </w:r>
    </w:p>
    <w:p w:rsidR="00FF2795" w:rsidRPr="00FF2795" w:rsidRDefault="002F60A2" w:rsidP="00B5656F">
      <w:pPr>
        <w:pStyle w:val="NoSpacing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>periode</w:t>
      </w:r>
      <w:proofErr w:type="gramEnd"/>
      <w:r>
        <w:rPr>
          <w:rFonts w:ascii="Times New Roman" w:hAnsi="Times New Roman" w:cs="Times New Roman"/>
        </w:rPr>
        <w:t xml:space="preserve"> simpan disajikan pada Tabel 3. </w:t>
      </w:r>
    </w:p>
    <w:p w:rsidR="00B5656F" w:rsidRDefault="00B5656F" w:rsidP="00D54A7D">
      <w:pPr>
        <w:pStyle w:val="NoSpacing"/>
      </w:pPr>
    </w:p>
    <w:p w:rsidR="00674429" w:rsidRDefault="00674429" w:rsidP="00674429">
      <w:pPr>
        <w:pStyle w:val="NoSpacing"/>
      </w:pPr>
      <w:proofErr w:type="gramStart"/>
      <w:r>
        <w:t>Tabel 3</w:t>
      </w:r>
      <w:r w:rsidR="00D54A7D">
        <w:t>.</w:t>
      </w:r>
      <w:proofErr w:type="gramEnd"/>
      <w:r w:rsidR="00D54A7D">
        <w:t xml:space="preserve"> </w:t>
      </w:r>
      <w:r w:rsidR="00D54A7D" w:rsidRPr="005066C3">
        <w:t xml:space="preserve">Populasi </w:t>
      </w:r>
      <w:r w:rsidR="00D54A7D" w:rsidRPr="005066C3">
        <w:rPr>
          <w:b/>
          <w:i/>
        </w:rPr>
        <w:t xml:space="preserve">Callosobruchus chinensis </w:t>
      </w:r>
      <w:proofErr w:type="gramStart"/>
      <w:r w:rsidR="00D54A7D" w:rsidRPr="005066C3">
        <w:rPr>
          <w:b/>
        </w:rPr>
        <w:t>L</w:t>
      </w:r>
      <w:r>
        <w:t xml:space="preserve">  dan</w:t>
      </w:r>
      <w:proofErr w:type="gramEnd"/>
      <w:r>
        <w:t xml:space="preserve"> kerusakan  benih ka</w:t>
      </w:r>
      <w:r w:rsidR="00D54A7D" w:rsidRPr="005066C3">
        <w:t xml:space="preserve">cang hijau </w:t>
      </w:r>
      <w:r>
        <w:t>yang dikemas</w:t>
      </w:r>
    </w:p>
    <w:p w:rsidR="00D54A7D" w:rsidRDefault="00674429" w:rsidP="00674429">
      <w:pPr>
        <w:pStyle w:val="NoSpacing"/>
      </w:pPr>
      <w:r>
        <w:t xml:space="preserve">              </w:t>
      </w:r>
      <w:proofErr w:type="gramStart"/>
      <w:r>
        <w:t>pada</w:t>
      </w:r>
      <w:proofErr w:type="gramEnd"/>
      <w:r>
        <w:t xml:space="preserve"> berbagai jenis kemasan </w:t>
      </w:r>
      <w:r w:rsidR="00D54A7D">
        <w:t xml:space="preserve"> </w:t>
      </w:r>
      <w:r w:rsidR="00D54A7D" w:rsidRPr="005066C3">
        <w:t>setelah periode simpan</w:t>
      </w:r>
      <w:r>
        <w:t xml:space="preserve"> tiga </w:t>
      </w:r>
      <w:r w:rsidR="00D54A7D">
        <w:t xml:space="preserve"> bulan .</w:t>
      </w:r>
    </w:p>
    <w:p w:rsidR="00674429" w:rsidRDefault="00674429" w:rsidP="00674429">
      <w:pPr>
        <w:pStyle w:val="NoSpacing"/>
        <w:ind w:left="0"/>
      </w:pPr>
    </w:p>
    <w:tbl>
      <w:tblPr>
        <w:tblStyle w:val="TableGrid"/>
        <w:tblW w:w="0" w:type="auto"/>
        <w:tblInd w:w="562" w:type="dxa"/>
        <w:tblLayout w:type="fixed"/>
        <w:tblLook w:val="04A0"/>
      </w:tblPr>
      <w:tblGrid>
        <w:gridCol w:w="898"/>
        <w:gridCol w:w="1438"/>
        <w:gridCol w:w="900"/>
        <w:gridCol w:w="900"/>
        <w:gridCol w:w="990"/>
        <w:gridCol w:w="810"/>
        <w:gridCol w:w="990"/>
        <w:gridCol w:w="1147"/>
        <w:gridCol w:w="941"/>
      </w:tblGrid>
      <w:tr w:rsidR="00674429" w:rsidTr="00FE516D">
        <w:trPr>
          <w:trHeight w:val="1070"/>
        </w:trPr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429" w:rsidRDefault="00674429" w:rsidP="00DA3416">
            <w:pPr>
              <w:pStyle w:val="NoSpacing"/>
              <w:ind w:left="0"/>
              <w:jc w:val="center"/>
            </w:pPr>
            <w:r>
              <w:t>Kombinasi kultivar &amp; Dosis minyak cengkeh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429" w:rsidRDefault="00674429" w:rsidP="00DA3416">
            <w:pPr>
              <w:pStyle w:val="NoSpacing"/>
              <w:ind w:left="0"/>
            </w:pPr>
            <w:r>
              <w:t>Kdar Air (%)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429" w:rsidRDefault="00674429" w:rsidP="00DA3416">
            <w:pPr>
              <w:pStyle w:val="NoSpacing"/>
              <w:ind w:left="0"/>
            </w:pPr>
            <w:r>
              <w:t>Selisih Kadar Air (%)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429" w:rsidRDefault="00674429" w:rsidP="00DA3416">
            <w:pPr>
              <w:pStyle w:val="NoSpacing"/>
              <w:ind w:left="0"/>
            </w:pPr>
            <w:r>
              <w:t xml:space="preserve">Populasi (ekor)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429" w:rsidRDefault="00674429" w:rsidP="00DA3416">
            <w:pPr>
              <w:pStyle w:val="NoSpacing"/>
              <w:ind w:left="0"/>
            </w:pPr>
            <w:r>
              <w:t>Benih rusak (%)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429" w:rsidRDefault="00674429" w:rsidP="00DA3416">
            <w:pPr>
              <w:pStyle w:val="NoSpacing"/>
              <w:ind w:left="0"/>
            </w:pPr>
            <w:r>
              <w:t>Bobot 100 butir (g)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429" w:rsidRDefault="00674429" w:rsidP="00DA3416">
            <w:pPr>
              <w:pStyle w:val="NoSpacing"/>
              <w:ind w:left="0"/>
            </w:pPr>
            <w:r>
              <w:t>Daya Berkecambah (%)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429" w:rsidRDefault="00674429" w:rsidP="00DA3416">
            <w:pPr>
              <w:pStyle w:val="NoSpacing"/>
              <w:ind w:left="0"/>
            </w:pPr>
            <w:r>
              <w:t>Indeks Vigor</w:t>
            </w:r>
          </w:p>
        </w:tc>
      </w:tr>
      <w:tr w:rsidR="005F54CE" w:rsidTr="00FE516D">
        <w:tc>
          <w:tcPr>
            <w:tcW w:w="8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</w:p>
          <w:p w:rsidR="005F54CE" w:rsidRDefault="005F54CE" w:rsidP="00DA3416">
            <w:pPr>
              <w:pStyle w:val="NoSpacing"/>
              <w:ind w:left="0"/>
            </w:pPr>
          </w:p>
          <w:p w:rsidR="005F54CE" w:rsidRDefault="005F54CE" w:rsidP="00DA3416">
            <w:pPr>
              <w:pStyle w:val="NoSpacing"/>
              <w:ind w:left="0"/>
            </w:pPr>
            <w:r>
              <w:t>Vima-1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4CE" w:rsidRPr="00674429" w:rsidRDefault="005F54CE" w:rsidP="00DA3416">
            <w:pPr>
              <w:pStyle w:val="NoSpacing"/>
              <w:ind w:left="0"/>
            </w:pPr>
            <w:r>
              <w:t>Karung terigu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17.50 f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4CE" w:rsidRDefault="00A71132" w:rsidP="00A71132">
            <w:pPr>
              <w:pStyle w:val="NoSpacing"/>
              <w:ind w:left="0"/>
              <w:jc w:val="center"/>
            </w:pPr>
            <w:r>
              <w:t>4.93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191.3 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37.7 f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4.90 b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67.33 b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6.64 b</w:t>
            </w:r>
          </w:p>
        </w:tc>
      </w:tr>
      <w:tr w:rsidR="005F54CE" w:rsidTr="00FE516D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5F54CE" w:rsidRPr="00674429" w:rsidRDefault="005F54CE" w:rsidP="00DA3416">
            <w:pPr>
              <w:pStyle w:val="NoSpacing"/>
              <w:ind w:left="0"/>
            </w:pPr>
            <w:r>
              <w:t>Aluminium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13.72 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A71132">
            <w:pPr>
              <w:pStyle w:val="NoSpacing"/>
              <w:ind w:left="0"/>
              <w:jc w:val="center"/>
            </w:pPr>
            <w:r>
              <w:t>1.15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 xml:space="preserve">  </w:t>
            </w:r>
            <w:r w:rsidR="005F54CE">
              <w:t>94.</w:t>
            </w:r>
            <w:r w:rsidR="007E669A">
              <w:t>0 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18.3 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5.20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88.00 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8.76 a</w:t>
            </w:r>
          </w:p>
        </w:tc>
      </w:tr>
      <w:tr w:rsidR="005F54CE" w:rsidTr="00FE516D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5F54CE" w:rsidRPr="00674429" w:rsidRDefault="005F54CE" w:rsidP="00DA3416">
            <w:pPr>
              <w:pStyle w:val="NoSpacing"/>
              <w:ind w:left="0"/>
            </w:pPr>
            <w:r>
              <w:t xml:space="preserve">Kertas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18.60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A71132">
            <w:pPr>
              <w:pStyle w:val="NoSpacing"/>
              <w:ind w:left="0"/>
              <w:jc w:val="center"/>
            </w:pPr>
            <w:r>
              <w:t>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284.0 f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60.3 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4.51 c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34.67 c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85C6C" w:rsidP="00DA3416">
            <w:pPr>
              <w:pStyle w:val="NoSpacing"/>
              <w:ind w:left="0"/>
            </w:pPr>
            <w:r>
              <w:t>3.31 d</w:t>
            </w:r>
          </w:p>
        </w:tc>
      </w:tr>
      <w:tr w:rsidR="005F54CE" w:rsidTr="00FE516D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5F54CE" w:rsidRPr="00674429" w:rsidRDefault="005F54CE" w:rsidP="00DA3416">
            <w:pPr>
              <w:pStyle w:val="NoSpacing"/>
              <w:ind w:left="0"/>
            </w:pPr>
            <w:r>
              <w:t>Plastik Seal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18.32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A71132">
            <w:pPr>
              <w:pStyle w:val="NoSpacing"/>
              <w:ind w:left="0"/>
              <w:jc w:val="center"/>
            </w:pPr>
            <w:r>
              <w:t>5.75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164.</w:t>
            </w:r>
            <w:r w:rsidR="005F54CE">
              <w:t>0</w:t>
            </w:r>
            <w:r>
              <w:t xml:space="preserve"> 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35.0 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5.09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C7053F" w:rsidP="00DA3416">
            <w:pPr>
              <w:pStyle w:val="NoSpacing"/>
              <w:ind w:left="0"/>
            </w:pPr>
            <w:r>
              <w:t>80.67 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C7053F" w:rsidP="00DA3416">
            <w:pPr>
              <w:pStyle w:val="NoSpacing"/>
              <w:ind w:left="0"/>
            </w:pPr>
            <w:r>
              <w:t>8.20 a</w:t>
            </w:r>
          </w:p>
        </w:tc>
      </w:tr>
      <w:tr w:rsidR="005F54CE" w:rsidTr="00FE516D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  <w:r>
              <w:t>Botol kaca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12.70 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A71132">
            <w:pPr>
              <w:pStyle w:val="NoSpacing"/>
              <w:ind w:left="0"/>
              <w:jc w:val="center"/>
            </w:pPr>
            <w:r>
              <w:t>0.13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 xml:space="preserve">  </w:t>
            </w:r>
            <w:r w:rsidR="005F54CE">
              <w:t>10.0</w:t>
            </w:r>
            <w:r w:rsidR="007E669A">
              <w:t xml:space="preserve"> 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 xml:space="preserve">  1.0 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5.40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88.67 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85C6C" w:rsidP="00DA3416">
            <w:pPr>
              <w:pStyle w:val="NoSpacing"/>
              <w:ind w:left="0"/>
            </w:pPr>
            <w:r>
              <w:t>8.87 a</w:t>
            </w:r>
          </w:p>
        </w:tc>
      </w:tr>
      <w:tr w:rsidR="005F54CE" w:rsidTr="00FE516D"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</w:p>
          <w:p w:rsidR="005F54CE" w:rsidRDefault="005F54CE" w:rsidP="00DA3416">
            <w:pPr>
              <w:pStyle w:val="NoSpacing"/>
              <w:ind w:left="0"/>
            </w:pPr>
          </w:p>
          <w:p w:rsidR="005F54CE" w:rsidRDefault="005F54CE" w:rsidP="00DA3416">
            <w:pPr>
              <w:pStyle w:val="NoSpacing"/>
              <w:ind w:left="0"/>
            </w:pPr>
            <w:r>
              <w:t>Vima-3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5F54CE" w:rsidRPr="00674429" w:rsidRDefault="005F54CE" w:rsidP="00DA3416">
            <w:pPr>
              <w:pStyle w:val="NoSpacing"/>
              <w:ind w:left="0"/>
            </w:pPr>
            <w:r>
              <w:lastRenderedPageBreak/>
              <w:t>Karung terigu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16.90 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A71132">
            <w:pPr>
              <w:pStyle w:val="NoSpacing"/>
              <w:ind w:left="0"/>
              <w:jc w:val="center"/>
            </w:pPr>
            <w:r>
              <w:t>6.23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155.7 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29.7 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5.28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60.67 b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85C6C" w:rsidP="00DA3416">
            <w:pPr>
              <w:pStyle w:val="NoSpacing"/>
              <w:ind w:left="0"/>
            </w:pPr>
            <w:r>
              <w:t>5.97 c</w:t>
            </w:r>
          </w:p>
        </w:tc>
      </w:tr>
      <w:tr w:rsidR="005F54CE" w:rsidTr="00FE516D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5F54CE" w:rsidRPr="00674429" w:rsidRDefault="005F54CE" w:rsidP="00DA3416">
            <w:pPr>
              <w:pStyle w:val="NoSpacing"/>
              <w:ind w:left="0"/>
            </w:pPr>
            <w:r>
              <w:t>Aluminium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12.80 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A71132">
            <w:pPr>
              <w:pStyle w:val="NoSpacing"/>
              <w:ind w:left="0"/>
              <w:jc w:val="center"/>
            </w:pPr>
            <w:r>
              <w:t>2.13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112.</w:t>
            </w:r>
            <w:r w:rsidR="007E669A">
              <w:t>7 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23.3 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5.51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86.00 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85C6C" w:rsidP="00DA3416">
            <w:pPr>
              <w:pStyle w:val="NoSpacing"/>
              <w:ind w:left="0"/>
            </w:pPr>
            <w:r>
              <w:t>8.52 a</w:t>
            </w:r>
          </w:p>
        </w:tc>
      </w:tr>
      <w:tr w:rsidR="005F54CE" w:rsidTr="00FE516D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5F54CE" w:rsidRPr="00674429" w:rsidRDefault="005F54CE" w:rsidP="00DA3416">
            <w:pPr>
              <w:pStyle w:val="NoSpacing"/>
              <w:ind w:left="0"/>
            </w:pPr>
            <w:r>
              <w:t xml:space="preserve">Kertas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18.34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A71132">
            <w:pPr>
              <w:pStyle w:val="NoSpacing"/>
              <w:ind w:left="0"/>
              <w:jc w:val="center"/>
            </w:pPr>
            <w:r>
              <w:t>7.67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145.3</w:t>
            </w:r>
            <w:r w:rsidR="007E669A">
              <w:t xml:space="preserve"> 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27.0 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5.38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55.33 b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85C6C" w:rsidP="00DA3416">
            <w:pPr>
              <w:pStyle w:val="NoSpacing"/>
              <w:ind w:left="0"/>
            </w:pPr>
            <w:r>
              <w:t>5.50 c</w:t>
            </w:r>
          </w:p>
        </w:tc>
      </w:tr>
      <w:tr w:rsidR="005F54CE" w:rsidTr="00FE516D"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5F54CE" w:rsidRPr="00674429" w:rsidRDefault="005F54CE" w:rsidP="00DA3416">
            <w:pPr>
              <w:pStyle w:val="NoSpacing"/>
              <w:ind w:left="0"/>
            </w:pPr>
            <w:r>
              <w:t>Plastik Seal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15.69 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A71132">
            <w:pPr>
              <w:pStyle w:val="NoSpacing"/>
              <w:ind w:left="0"/>
              <w:jc w:val="center"/>
            </w:pPr>
            <w:r>
              <w:t>5.02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124.3</w:t>
            </w:r>
            <w:r w:rsidR="007E669A">
              <w:t xml:space="preserve"> 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25.3 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5.39 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80.00 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F54CE" w:rsidRDefault="00785C6C" w:rsidP="00DA3416">
            <w:pPr>
              <w:pStyle w:val="NoSpacing"/>
              <w:ind w:left="0"/>
            </w:pPr>
            <w:r>
              <w:t>7.91 a</w:t>
            </w:r>
          </w:p>
        </w:tc>
      </w:tr>
      <w:tr w:rsidR="005F54CE" w:rsidTr="00FE516D"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4CE" w:rsidRDefault="005F54CE" w:rsidP="00DA3416">
            <w:pPr>
              <w:pStyle w:val="NoSpacing"/>
              <w:ind w:left="0"/>
            </w:pPr>
            <w:r>
              <w:t>Botol kaca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>11.01 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4CE" w:rsidRDefault="00A71132" w:rsidP="00A71132">
            <w:pPr>
              <w:pStyle w:val="NoSpacing"/>
              <w:ind w:left="0"/>
              <w:jc w:val="center"/>
            </w:pPr>
            <w:r>
              <w:t>0.34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4CE" w:rsidRDefault="00A71132" w:rsidP="00DA3416">
            <w:pPr>
              <w:pStyle w:val="NoSpacing"/>
              <w:ind w:left="0"/>
            </w:pPr>
            <w:r>
              <w:t xml:space="preserve">  10.0</w:t>
            </w:r>
            <w:r w:rsidR="007E669A">
              <w:t xml:space="preserve"> 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 xml:space="preserve">  0.3 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5.49 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4CE" w:rsidRDefault="007E669A" w:rsidP="00DA3416">
            <w:pPr>
              <w:pStyle w:val="NoSpacing"/>
              <w:ind w:left="0"/>
            </w:pPr>
            <w:r>
              <w:t>93.33 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4CE" w:rsidRDefault="00785C6C" w:rsidP="00DA3416">
            <w:pPr>
              <w:pStyle w:val="NoSpacing"/>
              <w:ind w:left="0"/>
            </w:pPr>
            <w:r>
              <w:t>9.31 a</w:t>
            </w:r>
          </w:p>
        </w:tc>
      </w:tr>
    </w:tbl>
    <w:p w:rsidR="00674429" w:rsidRDefault="00674429" w:rsidP="00674429">
      <w:pPr>
        <w:pStyle w:val="NoSpacing"/>
      </w:pPr>
      <w:proofErr w:type="gramStart"/>
      <w:r>
        <w:t>Keterangan :</w:t>
      </w:r>
      <w:proofErr w:type="gramEnd"/>
      <w:r>
        <w:t xml:space="preserve">  Angka yang diikuti huruf yang sama pada kolom yang sama  dinyatakan tidak  berbeda nyata  menurut uji Skott-knot pada taraf 5 %</w:t>
      </w:r>
    </w:p>
    <w:p w:rsidR="00E83620" w:rsidRPr="00E7445C" w:rsidRDefault="00E83620" w:rsidP="00D82E88">
      <w:pPr>
        <w:pStyle w:val="NoSpacing"/>
        <w:rPr>
          <w:rFonts w:ascii="Times New Roman" w:hAnsi="Times New Roman" w:cs="Times New Roman"/>
        </w:rPr>
      </w:pPr>
    </w:p>
    <w:p w:rsidR="00D82E88" w:rsidRPr="00E7445C" w:rsidRDefault="00D82E88" w:rsidP="000A01D2">
      <w:pPr>
        <w:pStyle w:val="NoSpacing"/>
        <w:spacing w:line="480" w:lineRule="auto"/>
        <w:rPr>
          <w:rFonts w:ascii="Times New Roman" w:hAnsi="Times New Roman" w:cs="Times New Roman"/>
        </w:rPr>
      </w:pPr>
      <w:r w:rsidRPr="00E7445C">
        <w:rPr>
          <w:rFonts w:ascii="Times New Roman" w:hAnsi="Times New Roman" w:cs="Times New Roman"/>
          <w:b/>
        </w:rPr>
        <w:t xml:space="preserve">    </w:t>
      </w:r>
      <w:r w:rsidR="00DA3416">
        <w:rPr>
          <w:rFonts w:ascii="Times New Roman" w:hAnsi="Times New Roman" w:cs="Times New Roman"/>
          <w:b/>
        </w:rPr>
        <w:t xml:space="preserve">        </w:t>
      </w:r>
      <w:r w:rsidRPr="00E7445C">
        <w:rPr>
          <w:rFonts w:ascii="Times New Roman" w:hAnsi="Times New Roman" w:cs="Times New Roman"/>
          <w:b/>
        </w:rPr>
        <w:t xml:space="preserve"> </w:t>
      </w:r>
      <w:r w:rsidR="00DA3416">
        <w:rPr>
          <w:rFonts w:ascii="Times New Roman" w:hAnsi="Times New Roman" w:cs="Times New Roman"/>
        </w:rPr>
        <w:t xml:space="preserve">Kombinasi jenis kemasan dan kultivar berpengaruh nyata terhadap perningktan </w:t>
      </w:r>
      <w:proofErr w:type="gramStart"/>
      <w:r w:rsidR="00DA3416">
        <w:rPr>
          <w:rFonts w:ascii="Times New Roman" w:hAnsi="Times New Roman" w:cs="Times New Roman"/>
        </w:rPr>
        <w:t>kadar</w:t>
      </w:r>
      <w:proofErr w:type="gramEnd"/>
      <w:r w:rsidR="00DA3416">
        <w:rPr>
          <w:rFonts w:ascii="Times New Roman" w:hAnsi="Times New Roman" w:cs="Times New Roman"/>
        </w:rPr>
        <w:t xml:space="preserve"> air, perkembangan populasi </w:t>
      </w:r>
      <w:r w:rsidR="00DA3416" w:rsidRPr="000A01D2">
        <w:rPr>
          <w:rFonts w:ascii="Times New Roman" w:hAnsi="Times New Roman" w:cs="Times New Roman"/>
          <w:i/>
        </w:rPr>
        <w:t>Callosobrochus sp</w:t>
      </w:r>
      <w:r w:rsidR="00DA3416">
        <w:rPr>
          <w:rFonts w:ascii="Times New Roman" w:hAnsi="Times New Roman" w:cs="Times New Roman"/>
        </w:rPr>
        <w:t xml:space="preserve">, persen jumlah benih yang rusak, daya berkacambah dan vigor benih. Daya ecambah dan vigor </w:t>
      </w:r>
      <w:proofErr w:type="gramStart"/>
      <w:r w:rsidR="00DA3416">
        <w:rPr>
          <w:rFonts w:ascii="Times New Roman" w:hAnsi="Times New Roman" w:cs="Times New Roman"/>
        </w:rPr>
        <w:t>benih  kultivar</w:t>
      </w:r>
      <w:proofErr w:type="gramEnd"/>
      <w:r w:rsidR="00DA3416">
        <w:rPr>
          <w:rFonts w:ascii="Times New Roman" w:hAnsi="Times New Roman" w:cs="Times New Roman"/>
        </w:rPr>
        <w:t xml:space="preserve"> vima-1 dan Vima-3  jika dikemas dalam karung terigu dan kantong kertas hasilnya paling rendah jika dibandingkan dengan benih yang dikemas dengan tiga jenis kemasan lai</w:t>
      </w:r>
      <w:r w:rsidR="000A01D2">
        <w:rPr>
          <w:rFonts w:ascii="Times New Roman" w:hAnsi="Times New Roman" w:cs="Times New Roman"/>
        </w:rPr>
        <w:t xml:space="preserve">nnya. </w:t>
      </w:r>
      <w:proofErr w:type="gramStart"/>
      <w:r w:rsidR="000A01D2">
        <w:rPr>
          <w:rFonts w:ascii="Times New Roman" w:hAnsi="Times New Roman" w:cs="Times New Roman"/>
        </w:rPr>
        <w:t xml:space="preserve">Bahkan yang dikemas </w:t>
      </w:r>
      <w:r w:rsidR="00DA3416">
        <w:rPr>
          <w:rFonts w:ascii="Times New Roman" w:hAnsi="Times New Roman" w:cs="Times New Roman"/>
        </w:rPr>
        <w:t xml:space="preserve">botol kaca </w:t>
      </w:r>
      <w:r w:rsidR="000A01D2">
        <w:rPr>
          <w:rFonts w:ascii="Times New Roman" w:hAnsi="Times New Roman" w:cs="Times New Roman"/>
        </w:rPr>
        <w:t>mengindikasikan kualitas benih lebih baik dibandingkan dengan benih yang dikemas dalam aluminium foil atau pun plastic seal.</w:t>
      </w:r>
      <w:proofErr w:type="gramEnd"/>
      <w:r w:rsidR="000A01D2">
        <w:rPr>
          <w:rFonts w:ascii="Times New Roman" w:hAnsi="Times New Roman" w:cs="Times New Roman"/>
        </w:rPr>
        <w:t xml:space="preserve"> Diduga botol kaca lebih kedap udara dan air, terbukti dengan perubahan </w:t>
      </w:r>
      <w:proofErr w:type="gramStart"/>
      <w:r w:rsidR="000A01D2">
        <w:rPr>
          <w:rFonts w:ascii="Times New Roman" w:hAnsi="Times New Roman" w:cs="Times New Roman"/>
        </w:rPr>
        <w:t>kadar</w:t>
      </w:r>
      <w:proofErr w:type="gramEnd"/>
      <w:r w:rsidR="000A01D2">
        <w:rPr>
          <w:rFonts w:ascii="Times New Roman" w:hAnsi="Times New Roman" w:cs="Times New Roman"/>
        </w:rPr>
        <w:t xml:space="preserve"> air yang rendah setelah periode simpan (0.13 – 0.34 %). Selain itu jenis kemasan ini menyebabkan </w:t>
      </w:r>
      <w:proofErr w:type="gramStart"/>
      <w:r w:rsidR="000A01D2">
        <w:rPr>
          <w:rFonts w:ascii="Times New Roman" w:hAnsi="Times New Roman" w:cs="Times New Roman"/>
        </w:rPr>
        <w:t xml:space="preserve">perkembangan </w:t>
      </w:r>
      <w:r w:rsidRPr="00E7445C">
        <w:rPr>
          <w:rFonts w:ascii="Times New Roman" w:hAnsi="Times New Roman" w:cs="Times New Roman"/>
        </w:rPr>
        <w:t xml:space="preserve"> </w:t>
      </w:r>
      <w:r w:rsidR="000A01D2" w:rsidRPr="000A01D2">
        <w:rPr>
          <w:rFonts w:ascii="Times New Roman" w:hAnsi="Times New Roman" w:cs="Times New Roman"/>
          <w:i/>
        </w:rPr>
        <w:t>Callosobrochus</w:t>
      </w:r>
      <w:proofErr w:type="gramEnd"/>
      <w:r w:rsidR="000A01D2" w:rsidRPr="000A01D2">
        <w:rPr>
          <w:rFonts w:ascii="Times New Roman" w:hAnsi="Times New Roman" w:cs="Times New Roman"/>
          <w:i/>
        </w:rPr>
        <w:t xml:space="preserve"> sp</w:t>
      </w:r>
      <w:r w:rsidR="000A01D2">
        <w:rPr>
          <w:rFonts w:ascii="Times New Roman" w:hAnsi="Times New Roman" w:cs="Times New Roman"/>
        </w:rPr>
        <w:t xml:space="preserve"> menjadi terhambat. Jumlah hama tetap 10 ekor, artinya tidak ada </w:t>
      </w:r>
      <w:proofErr w:type="gramStart"/>
      <w:r w:rsidR="000A01D2">
        <w:rPr>
          <w:rFonts w:ascii="Times New Roman" w:hAnsi="Times New Roman" w:cs="Times New Roman"/>
        </w:rPr>
        <w:t>perubahan  dengan</w:t>
      </w:r>
      <w:proofErr w:type="gramEnd"/>
      <w:r w:rsidR="000A01D2">
        <w:rPr>
          <w:rFonts w:ascii="Times New Roman" w:hAnsi="Times New Roman" w:cs="Times New Roman"/>
        </w:rPr>
        <w:t xml:space="preserve"> saat pertama investasi. </w:t>
      </w:r>
      <w:r w:rsidRPr="00E7445C">
        <w:rPr>
          <w:rFonts w:ascii="Times New Roman" w:hAnsi="Times New Roman" w:cs="Times New Roman"/>
        </w:rPr>
        <w:t xml:space="preserve">  </w:t>
      </w:r>
      <w:r w:rsidR="00DA3416">
        <w:rPr>
          <w:rFonts w:ascii="Times New Roman" w:hAnsi="Times New Roman" w:cs="Times New Roman"/>
        </w:rPr>
        <w:t xml:space="preserve">        </w:t>
      </w:r>
      <w:r w:rsidRPr="00E7445C">
        <w:rPr>
          <w:rFonts w:ascii="Times New Roman" w:hAnsi="Times New Roman" w:cs="Times New Roman"/>
        </w:rPr>
        <w:t xml:space="preserve"> </w:t>
      </w:r>
    </w:p>
    <w:p w:rsidR="00BA102D" w:rsidRPr="000A01D2" w:rsidRDefault="00D82E88" w:rsidP="000A01D2">
      <w:pPr>
        <w:pStyle w:val="NoSpacing"/>
        <w:spacing w:line="480" w:lineRule="auto"/>
        <w:rPr>
          <w:rFonts w:ascii="Times New Roman" w:hAnsi="Times New Roman" w:cs="Times New Roman"/>
        </w:rPr>
      </w:pPr>
      <w:r w:rsidRPr="00E7445C">
        <w:rPr>
          <w:rFonts w:ascii="Times New Roman" w:hAnsi="Times New Roman" w:cs="Times New Roman"/>
        </w:rPr>
        <w:t xml:space="preserve">             </w:t>
      </w:r>
    </w:p>
    <w:p w:rsidR="00225975" w:rsidRPr="000A01D2" w:rsidRDefault="00225975" w:rsidP="000A01D2">
      <w:pPr>
        <w:pStyle w:val="NoSpacing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1D2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45593E" w:rsidRDefault="0045593E" w:rsidP="00225975">
      <w:pPr>
        <w:pStyle w:val="NoSpacing"/>
        <w:ind w:left="1282"/>
        <w:rPr>
          <w:rFonts w:ascii="Times New Roman" w:hAnsi="Times New Roman" w:cs="Times New Roman"/>
          <w:sz w:val="24"/>
          <w:szCs w:val="24"/>
        </w:rPr>
      </w:pPr>
    </w:p>
    <w:p w:rsidR="0045593E" w:rsidRDefault="0045593E" w:rsidP="00225975">
      <w:pPr>
        <w:pStyle w:val="NoSpacing"/>
        <w:ind w:left="1282"/>
        <w:rPr>
          <w:rFonts w:ascii="Times New Roman" w:hAnsi="Times New Roman" w:cs="Times New Roman"/>
          <w:sz w:val="24"/>
          <w:szCs w:val="24"/>
        </w:rPr>
      </w:pPr>
    </w:p>
    <w:p w:rsidR="00DF1500" w:rsidRDefault="00F912CC" w:rsidP="00DF1500">
      <w:pPr>
        <w:pStyle w:val="NoSpacing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Berdasarkan uraian di atas dapat disimpulkan</w:t>
      </w:r>
      <w:r w:rsidR="00DF1500">
        <w:rPr>
          <w:rFonts w:ascii="Times New Roman" w:hAnsi="Times New Roman" w:cs="Times New Roman"/>
          <w:sz w:val="24"/>
          <w:szCs w:val="24"/>
        </w:rPr>
        <w:t xml:space="preserve"> dan saran sebagai </w:t>
      </w:r>
      <w:proofErr w:type="gramStart"/>
      <w:r w:rsidR="00DF1500">
        <w:rPr>
          <w:rFonts w:ascii="Times New Roman" w:hAnsi="Times New Roman" w:cs="Times New Roman"/>
          <w:sz w:val="24"/>
          <w:szCs w:val="24"/>
        </w:rPr>
        <w:t>berikut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50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F1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500" w:rsidRDefault="00DF1500" w:rsidP="00DF1500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912CC">
        <w:rPr>
          <w:rFonts w:ascii="Times New Roman" w:hAnsi="Times New Roman" w:cs="Times New Roman"/>
          <w:sz w:val="24"/>
          <w:szCs w:val="24"/>
        </w:rPr>
        <w:t>ombinasi kultivar 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2CC" w:rsidRPr="00DF1500">
        <w:rPr>
          <w:rFonts w:ascii="Times New Roman" w:hAnsi="Times New Roman" w:cs="Times New Roman"/>
          <w:sz w:val="24"/>
          <w:szCs w:val="24"/>
        </w:rPr>
        <w:t xml:space="preserve">minyak cengkeh berpengaruh nyata terhadap jumlah benih yang rusak dan </w:t>
      </w:r>
      <w:proofErr w:type="gramStart"/>
      <w:r w:rsidR="00F912CC" w:rsidRPr="00DF1500">
        <w:rPr>
          <w:rFonts w:ascii="Times New Roman" w:hAnsi="Times New Roman" w:cs="Times New Roman"/>
          <w:sz w:val="24"/>
          <w:szCs w:val="24"/>
        </w:rPr>
        <w:t>daya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2CC" w:rsidRPr="00DF1500">
        <w:rPr>
          <w:rFonts w:ascii="Times New Roman" w:hAnsi="Times New Roman" w:cs="Times New Roman"/>
          <w:sz w:val="24"/>
          <w:szCs w:val="24"/>
        </w:rPr>
        <w:t xml:space="preserve"> berkecambah</w:t>
      </w:r>
      <w:proofErr w:type="gramEnd"/>
      <w:r w:rsidR="00F912CC" w:rsidRPr="00DF1500">
        <w:rPr>
          <w:rFonts w:ascii="Times New Roman" w:hAnsi="Times New Roman" w:cs="Times New Roman"/>
          <w:sz w:val="24"/>
          <w:szCs w:val="24"/>
        </w:rPr>
        <w:t xml:space="preserve"> benih,</w:t>
      </w:r>
      <w:r w:rsidRPr="00DF1500">
        <w:rPr>
          <w:rFonts w:ascii="Times New Roman" w:hAnsi="Times New Roman" w:cs="Times New Roman"/>
          <w:sz w:val="24"/>
          <w:szCs w:val="24"/>
        </w:rPr>
        <w:t xml:space="preserve"> tetapi</w:t>
      </w:r>
      <w:r w:rsidR="00F912CC" w:rsidRPr="00DF1500">
        <w:rPr>
          <w:rFonts w:ascii="Times New Roman" w:hAnsi="Times New Roman" w:cs="Times New Roman"/>
          <w:sz w:val="24"/>
          <w:szCs w:val="24"/>
        </w:rPr>
        <w:t xml:space="preserve"> tidak secara nyata berpengaruh terhadap </w:t>
      </w:r>
      <w:r w:rsidRPr="00DF1500">
        <w:rPr>
          <w:rFonts w:ascii="Times New Roman" w:hAnsi="Times New Roman" w:cs="Times New Roman"/>
          <w:sz w:val="24"/>
          <w:szCs w:val="24"/>
        </w:rPr>
        <w:t xml:space="preserve">perkembangan populasi  </w:t>
      </w:r>
      <w:r w:rsidRPr="00DF1500">
        <w:rPr>
          <w:rFonts w:ascii="Times New Roman" w:hAnsi="Times New Roman" w:cs="Times New Roman"/>
          <w:i/>
          <w:sz w:val="24"/>
          <w:szCs w:val="24"/>
        </w:rPr>
        <w:t>C</w:t>
      </w:r>
      <w:r w:rsidR="00F912CC" w:rsidRPr="00DF1500">
        <w:rPr>
          <w:rFonts w:ascii="Times New Roman" w:hAnsi="Times New Roman" w:cs="Times New Roman"/>
          <w:i/>
          <w:sz w:val="24"/>
          <w:szCs w:val="24"/>
        </w:rPr>
        <w:t>allosobrochus sp</w:t>
      </w:r>
      <w:r w:rsidRPr="00DF1500">
        <w:rPr>
          <w:rFonts w:ascii="Times New Roman" w:hAnsi="Times New Roman" w:cs="Times New Roman"/>
          <w:sz w:val="24"/>
          <w:szCs w:val="24"/>
        </w:rPr>
        <w:t xml:space="preserve"> dan vigor benih setelah periode simpan tiga bulan. </w:t>
      </w:r>
    </w:p>
    <w:p w:rsidR="00DF1500" w:rsidRDefault="00DF1500" w:rsidP="00DF1500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kemasan botol kaca paling baik mempertahankan kadar air benih, mengendalikan perkembangan hama </w:t>
      </w:r>
      <w:r w:rsidRPr="00DF1500">
        <w:rPr>
          <w:rFonts w:ascii="Times New Roman" w:hAnsi="Times New Roman" w:cs="Times New Roman"/>
          <w:i/>
          <w:sz w:val="24"/>
          <w:szCs w:val="24"/>
        </w:rPr>
        <w:t>Callosobrochus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sp  serta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mempertahankan daya berkecambah dan vigor benih kultivar Vima-1 dan Vima-2 terdeteriorasi setelah periode simpan tiga bulan. </w:t>
      </w:r>
    </w:p>
    <w:p w:rsidR="00DF1500" w:rsidRPr="00DF1500" w:rsidRDefault="00DF1500" w:rsidP="00DF1500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Adanya perbedaan kadar air</w:t>
      </w:r>
      <w:r w:rsidR="00570D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benih  kedua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kultivar  sebelum penyimpanan menyebabkan </w:t>
      </w:r>
      <w:r w:rsidR="00570DDE">
        <w:rPr>
          <w:rFonts w:ascii="Times New Roman" w:hAnsi="Times New Roman" w:cs="Times New Roman"/>
          <w:sz w:val="24"/>
          <w:szCs w:val="24"/>
        </w:rPr>
        <w:t xml:space="preserve">perbedaan respons antar kultivar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DDE">
        <w:rPr>
          <w:rFonts w:ascii="Times New Roman" w:hAnsi="Times New Roman" w:cs="Times New Roman"/>
          <w:sz w:val="24"/>
          <w:szCs w:val="24"/>
        </w:rPr>
        <w:t xml:space="preserve">terhadap minyak cengkeh maupun terhadap jenis kemasan tidak murni akibat karakteristik genetik kedua kultivar. Oleh karena perlu dilakukan penelitian lebih lanjut dengan menyeragamkan </w:t>
      </w:r>
      <w:proofErr w:type="gramStart"/>
      <w:r w:rsidR="00570DDE">
        <w:rPr>
          <w:rFonts w:ascii="Times New Roman" w:hAnsi="Times New Roman" w:cs="Times New Roman"/>
          <w:sz w:val="24"/>
          <w:szCs w:val="24"/>
        </w:rPr>
        <w:t>kadar</w:t>
      </w:r>
      <w:proofErr w:type="gramEnd"/>
      <w:r w:rsidR="00570DDE">
        <w:rPr>
          <w:rFonts w:ascii="Times New Roman" w:hAnsi="Times New Roman" w:cs="Times New Roman"/>
          <w:sz w:val="24"/>
          <w:szCs w:val="24"/>
        </w:rPr>
        <w:t xml:space="preserve"> air antar kultivar.  </w:t>
      </w:r>
    </w:p>
    <w:p w:rsidR="0045593E" w:rsidRPr="00570DDE" w:rsidRDefault="00DF1500" w:rsidP="00570DDE">
      <w:pPr>
        <w:pStyle w:val="NoSpacing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912CC" w:rsidRPr="00DF15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593E" w:rsidRDefault="0045593E" w:rsidP="00225975">
      <w:pPr>
        <w:pStyle w:val="NoSpacing"/>
        <w:ind w:left="1282"/>
        <w:rPr>
          <w:rFonts w:ascii="Times New Roman" w:hAnsi="Times New Roman" w:cs="Times New Roman"/>
          <w:sz w:val="24"/>
          <w:szCs w:val="24"/>
        </w:rPr>
      </w:pPr>
    </w:p>
    <w:p w:rsidR="0045593E" w:rsidRDefault="0045593E" w:rsidP="00225975">
      <w:pPr>
        <w:pStyle w:val="NoSpacing"/>
        <w:ind w:left="1282"/>
        <w:rPr>
          <w:rFonts w:ascii="Times New Roman" w:hAnsi="Times New Roman" w:cs="Times New Roman"/>
          <w:sz w:val="24"/>
          <w:szCs w:val="24"/>
        </w:rPr>
      </w:pPr>
    </w:p>
    <w:p w:rsidR="00225975" w:rsidRPr="0045593E" w:rsidRDefault="00225975" w:rsidP="0045593E">
      <w:pPr>
        <w:pStyle w:val="NoSpacing"/>
        <w:ind w:left="1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93E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45593E" w:rsidRDefault="0045593E" w:rsidP="00225975">
      <w:pPr>
        <w:pStyle w:val="NoSpacing"/>
        <w:ind w:left="1282"/>
        <w:rPr>
          <w:rFonts w:ascii="Times New Roman" w:hAnsi="Times New Roman" w:cs="Times New Roman"/>
          <w:sz w:val="24"/>
          <w:szCs w:val="24"/>
        </w:rPr>
      </w:pPr>
    </w:p>
    <w:p w:rsidR="0045593E" w:rsidRPr="0045593E" w:rsidRDefault="0045593E" w:rsidP="0045593E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570DDE" w:rsidRDefault="0045593E" w:rsidP="0045593E">
      <w:pPr>
        <w:pStyle w:val="NoSpacing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gramStart"/>
      <w:r w:rsidRPr="0045593E">
        <w:rPr>
          <w:rFonts w:ascii="Times New Roman" w:hAnsi="Times New Roman" w:cs="Times New Roman"/>
          <w:sz w:val="24"/>
          <w:szCs w:val="24"/>
        </w:rPr>
        <w:t>Copeland, L.O &amp; M.B. McDonald.</w:t>
      </w:r>
      <w:proofErr w:type="gramEnd"/>
      <w:r w:rsidRPr="0045593E">
        <w:rPr>
          <w:rFonts w:ascii="Times New Roman" w:hAnsi="Times New Roman" w:cs="Times New Roman"/>
          <w:sz w:val="24"/>
          <w:szCs w:val="24"/>
        </w:rPr>
        <w:t xml:space="preserve"> 2004. </w:t>
      </w:r>
      <w:r w:rsidRPr="0045593E">
        <w:rPr>
          <w:rFonts w:ascii="Times New Roman" w:hAnsi="Times New Roman" w:cs="Times New Roman"/>
          <w:i/>
          <w:sz w:val="24"/>
          <w:szCs w:val="24"/>
        </w:rPr>
        <w:t>Principles of Seed Science and Technology. 4</w:t>
      </w:r>
      <w:r w:rsidRPr="0045593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th </w:t>
      </w:r>
    </w:p>
    <w:p w:rsidR="0045593E" w:rsidRPr="0045593E" w:rsidRDefault="00570DDE" w:rsidP="004559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</w:t>
      </w:r>
      <w:proofErr w:type="gramStart"/>
      <w:r w:rsidR="0045593E" w:rsidRPr="0045593E">
        <w:rPr>
          <w:rFonts w:ascii="Times New Roman" w:hAnsi="Times New Roman" w:cs="Times New Roman"/>
          <w:i/>
          <w:sz w:val="24"/>
          <w:szCs w:val="24"/>
        </w:rPr>
        <w:t>edition</w:t>
      </w:r>
      <w:proofErr w:type="gramEnd"/>
      <w:r w:rsidR="0045593E" w:rsidRPr="004559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593E" w:rsidRPr="0045593E">
        <w:rPr>
          <w:rFonts w:ascii="Times New Roman" w:hAnsi="Times New Roman" w:cs="Times New Roman"/>
          <w:sz w:val="24"/>
          <w:szCs w:val="24"/>
        </w:rPr>
        <w:t>Kluwer Academic Publishers.</w:t>
      </w:r>
      <w:proofErr w:type="gramEnd"/>
      <w:r w:rsidR="0045593E" w:rsidRPr="0045593E">
        <w:rPr>
          <w:rFonts w:ascii="Times New Roman" w:hAnsi="Times New Roman" w:cs="Times New Roman"/>
          <w:sz w:val="24"/>
          <w:szCs w:val="24"/>
        </w:rPr>
        <w:t xml:space="preserve"> Boston, Dordrecht, London.</w:t>
      </w:r>
    </w:p>
    <w:p w:rsidR="0045593E" w:rsidRPr="0045593E" w:rsidRDefault="0045593E" w:rsidP="0045593E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45593E" w:rsidRPr="0045593E" w:rsidRDefault="00570DDE" w:rsidP="0045593E">
      <w:pPr>
        <w:pStyle w:val="NoSpacing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="0045593E" w:rsidRPr="0045593E">
        <w:rPr>
          <w:rFonts w:ascii="Times New Roman" w:hAnsi="Times New Roman" w:cs="Times New Roman"/>
        </w:rPr>
        <w:t>Greaves, J. H. P. Dobie &amp; J. Bridge, 1998.</w:t>
      </w:r>
      <w:proofErr w:type="gramEnd"/>
      <w:r w:rsidR="0045593E" w:rsidRPr="0045593E">
        <w:rPr>
          <w:rFonts w:ascii="Times New Roman" w:hAnsi="Times New Roman" w:cs="Times New Roman"/>
        </w:rPr>
        <w:t xml:space="preserve"> Strocage in Pest Control in Tropical Grain</w:t>
      </w:r>
    </w:p>
    <w:p w:rsidR="0045593E" w:rsidRPr="0045593E" w:rsidRDefault="00570DDE" w:rsidP="004559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 w:rsidR="0045593E" w:rsidRPr="0045593E">
        <w:rPr>
          <w:rFonts w:ascii="Times New Roman" w:hAnsi="Times New Roman" w:cs="Times New Roman"/>
        </w:rPr>
        <w:t>Legumes.</w:t>
      </w:r>
      <w:proofErr w:type="gramEnd"/>
      <w:r w:rsidR="0045593E" w:rsidRPr="0045593E">
        <w:rPr>
          <w:rFonts w:ascii="Times New Roman" w:hAnsi="Times New Roman" w:cs="Times New Roman"/>
        </w:rPr>
        <w:t xml:space="preserve"> </w:t>
      </w:r>
      <w:proofErr w:type="gramStart"/>
      <w:r w:rsidR="0045593E" w:rsidRPr="0045593E">
        <w:rPr>
          <w:rFonts w:ascii="Times New Roman" w:hAnsi="Times New Roman" w:cs="Times New Roman"/>
        </w:rPr>
        <w:t>College House, Wrights Lane, London.</w:t>
      </w:r>
      <w:proofErr w:type="gramEnd"/>
      <w:r w:rsidR="0045593E" w:rsidRPr="0045593E">
        <w:rPr>
          <w:rFonts w:ascii="Times New Roman" w:hAnsi="Times New Roman" w:cs="Times New Roman"/>
        </w:rPr>
        <w:t xml:space="preserve">  </w:t>
      </w:r>
    </w:p>
    <w:p w:rsidR="0045593E" w:rsidRPr="0045593E" w:rsidRDefault="0045593E" w:rsidP="0045593E">
      <w:pPr>
        <w:pStyle w:val="NoSpacing"/>
        <w:rPr>
          <w:rFonts w:ascii="Times New Roman" w:hAnsi="Times New Roman" w:cs="Times New Roman"/>
        </w:rPr>
      </w:pPr>
    </w:p>
    <w:p w:rsidR="00570DDE" w:rsidRDefault="0045593E" w:rsidP="0045593E">
      <w:pPr>
        <w:pStyle w:val="NoSpacing"/>
        <w:rPr>
          <w:rFonts w:ascii="Times New Roman" w:hAnsi="Times New Roman" w:cs="Times New Roman"/>
        </w:rPr>
      </w:pPr>
      <w:r w:rsidRPr="0045593E">
        <w:rPr>
          <w:rFonts w:ascii="Times New Roman" w:hAnsi="Times New Roman" w:cs="Times New Roman"/>
        </w:rPr>
        <w:t xml:space="preserve">Harrington JF. 1972. Seed Storage and Longevity. Dalam: Kozlowski TT, editor. </w:t>
      </w:r>
      <w:proofErr w:type="gramStart"/>
      <w:r w:rsidRPr="0045593E">
        <w:rPr>
          <w:rFonts w:ascii="Times New Roman" w:hAnsi="Times New Roman" w:cs="Times New Roman"/>
        </w:rPr>
        <w:t>Seed Biology.</w:t>
      </w:r>
      <w:proofErr w:type="gramEnd"/>
      <w:r w:rsidRPr="0045593E">
        <w:rPr>
          <w:rFonts w:ascii="Times New Roman" w:hAnsi="Times New Roman" w:cs="Times New Roman"/>
        </w:rPr>
        <w:t xml:space="preserve"> </w:t>
      </w:r>
    </w:p>
    <w:p w:rsidR="004D4DF8" w:rsidRDefault="00570DDE" w:rsidP="0045593E">
      <w:pPr>
        <w:pStyle w:val="NoSpacing"/>
      </w:pPr>
      <w:r>
        <w:rPr>
          <w:rFonts w:ascii="Times New Roman" w:hAnsi="Times New Roman" w:cs="Times New Roman"/>
        </w:rPr>
        <w:t xml:space="preserve">           </w:t>
      </w:r>
      <w:r w:rsidR="0045593E" w:rsidRPr="0045593E">
        <w:rPr>
          <w:rFonts w:ascii="Times New Roman" w:hAnsi="Times New Roman" w:cs="Times New Roman"/>
        </w:rPr>
        <w:t>Vol III. New York. Acad. Press.</w:t>
      </w:r>
      <w:r w:rsidR="004D4DF8" w:rsidRPr="004D4DF8">
        <w:t xml:space="preserve"> </w:t>
      </w:r>
    </w:p>
    <w:p w:rsidR="004D4DF8" w:rsidRDefault="004D4DF8" w:rsidP="0045593E">
      <w:pPr>
        <w:pStyle w:val="NoSpacing"/>
      </w:pPr>
    </w:p>
    <w:p w:rsidR="004D4DF8" w:rsidRDefault="004D4DF8" w:rsidP="004D4DF8">
      <w:pPr>
        <w:pStyle w:val="NoSpacing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Hastuti, D</w:t>
      </w:r>
      <w:proofErr w:type="gramStart"/>
      <w:r>
        <w:rPr>
          <w:rFonts w:ascii="Times New Roman" w:hAnsi="Times New Roman" w:cs="Times New Roman"/>
          <w:sz w:val="24"/>
          <w:szCs w:val="24"/>
        </w:rPr>
        <w:t>.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Sumadi  dan E. Suminar. 2015. Pengaruh </w:t>
      </w:r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air awal benih dan Jenis</w:t>
      </w:r>
    </w:p>
    <w:p w:rsidR="004D4DF8" w:rsidRDefault="004D4DF8" w:rsidP="004D4DF8">
      <w:pPr>
        <w:pStyle w:val="NoSpacing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Kemasan terhadap Populasi </w:t>
      </w:r>
      <w:proofErr w:type="gramStart"/>
      <w:r>
        <w:rPr>
          <w:rFonts w:ascii="Times New Roman" w:hAnsi="Times New Roman" w:cs="Times New Roman"/>
          <w:sz w:val="24"/>
          <w:szCs w:val="24"/>
        </w:rPr>
        <w:t>hama  Callosobrochus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maculates F, Viabilitas dan Vigor</w:t>
      </w:r>
    </w:p>
    <w:p w:rsidR="0045593E" w:rsidRPr="004D4DF8" w:rsidRDefault="004D4DF8" w:rsidP="004D4DF8">
      <w:pPr>
        <w:pStyle w:val="NoSpacing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Benih Kedelai setelah Penyimpnanan Tiga Bulan.</w:t>
      </w:r>
      <w:proofErr w:type="gramEnd"/>
      <w:r w:rsidRPr="004D4DF8">
        <w:t xml:space="preserve"> </w:t>
      </w:r>
      <w:r w:rsidRPr="004D4DF8">
        <w:rPr>
          <w:rFonts w:ascii="Times New Roman" w:hAnsi="Times New Roman" w:cs="Times New Roman"/>
          <w:sz w:val="24"/>
          <w:szCs w:val="24"/>
        </w:rPr>
        <w:t>Agric. Sci.</w:t>
      </w:r>
      <w:r>
        <w:rPr>
          <w:rFonts w:ascii="Times New Roman" w:hAnsi="Times New Roman" w:cs="Times New Roman"/>
          <w:sz w:val="24"/>
          <w:szCs w:val="24"/>
        </w:rPr>
        <w:t xml:space="preserve"> J. – Vol. II (1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53-63 </w:t>
      </w:r>
    </w:p>
    <w:p w:rsidR="0045593E" w:rsidRPr="0045593E" w:rsidRDefault="0045593E" w:rsidP="00570DDE">
      <w:pPr>
        <w:pStyle w:val="NoSpacing"/>
        <w:ind w:left="0"/>
        <w:rPr>
          <w:rFonts w:ascii="Times New Roman" w:hAnsi="Times New Roman" w:cs="Times New Roman"/>
        </w:rPr>
      </w:pPr>
    </w:p>
    <w:p w:rsidR="0045593E" w:rsidRPr="0045593E" w:rsidRDefault="0045593E" w:rsidP="0045593E">
      <w:pPr>
        <w:pStyle w:val="NoSpacing"/>
        <w:rPr>
          <w:rFonts w:ascii="Times New Roman" w:hAnsi="Times New Roman" w:cs="Times New Roman"/>
          <w:shd w:val="clear" w:color="auto" w:fill="FFFFFF"/>
        </w:rPr>
      </w:pPr>
      <w:proofErr w:type="gramStart"/>
      <w:r w:rsidRPr="0045593E">
        <w:rPr>
          <w:rFonts w:ascii="Times New Roman" w:hAnsi="Times New Roman" w:cs="Times New Roman"/>
        </w:rPr>
        <w:t>Imdad, H.P. &amp; A.A. Nawangsih.</w:t>
      </w:r>
      <w:proofErr w:type="gramEnd"/>
      <w:r w:rsidRPr="0045593E">
        <w:rPr>
          <w:rFonts w:ascii="Times New Roman" w:hAnsi="Times New Roman" w:cs="Times New Roman"/>
        </w:rPr>
        <w:t>  1999.  Menyimpan Bahan Pangan.  Penebar Swadaya.  Jakarta.</w:t>
      </w:r>
    </w:p>
    <w:p w:rsidR="0045593E" w:rsidRPr="0045593E" w:rsidRDefault="0045593E" w:rsidP="0045593E">
      <w:pPr>
        <w:pStyle w:val="NoSpacing"/>
        <w:rPr>
          <w:rFonts w:ascii="Times New Roman" w:hAnsi="Times New Roman" w:cs="Times New Roman"/>
          <w:shd w:val="clear" w:color="auto" w:fill="FFFFFF"/>
        </w:rPr>
      </w:pPr>
    </w:p>
    <w:p w:rsidR="0045593E" w:rsidRPr="0045593E" w:rsidRDefault="0045593E" w:rsidP="008F1DD5">
      <w:pPr>
        <w:pStyle w:val="NoSpacing"/>
        <w:ind w:left="0"/>
        <w:rPr>
          <w:rFonts w:ascii="Times New Roman" w:hAnsi="Times New Roman" w:cs="Times New Roman"/>
          <w:shd w:val="clear" w:color="auto" w:fill="FFFFFF"/>
        </w:rPr>
      </w:pPr>
    </w:p>
    <w:p w:rsidR="00570DDE" w:rsidRDefault="0045593E" w:rsidP="0045593E">
      <w:pPr>
        <w:pStyle w:val="NoSpacing"/>
        <w:rPr>
          <w:rFonts w:ascii="Times New Roman" w:hAnsi="Times New Roman" w:cs="Times New Roman"/>
        </w:rPr>
      </w:pPr>
      <w:r w:rsidRPr="0045593E">
        <w:rPr>
          <w:rFonts w:ascii="Times New Roman" w:hAnsi="Times New Roman" w:cs="Times New Roman"/>
        </w:rPr>
        <w:t xml:space="preserve">Kalshoven, L.G.E., 1981. </w:t>
      </w:r>
      <w:proofErr w:type="gramStart"/>
      <w:r w:rsidRPr="0045593E">
        <w:rPr>
          <w:rFonts w:ascii="Times New Roman" w:hAnsi="Times New Roman" w:cs="Times New Roman"/>
        </w:rPr>
        <w:t>The Pest of Crops in Indonesia.</w:t>
      </w:r>
      <w:proofErr w:type="gramEnd"/>
      <w:r w:rsidRPr="0045593E">
        <w:rPr>
          <w:rFonts w:ascii="Times New Roman" w:hAnsi="Times New Roman" w:cs="Times New Roman"/>
        </w:rPr>
        <w:t xml:space="preserve"> Revised and Translated by P.A. Van der </w:t>
      </w:r>
    </w:p>
    <w:p w:rsidR="0045593E" w:rsidRPr="0045593E" w:rsidRDefault="00570DDE" w:rsidP="004559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 w:rsidR="0045593E" w:rsidRPr="0045593E">
        <w:rPr>
          <w:rFonts w:ascii="Times New Roman" w:hAnsi="Times New Roman" w:cs="Times New Roman"/>
        </w:rPr>
        <w:t>Laan, University of Amsterdam, PT. Ikhtiar Baru, Van Hoeve, Jakarta.</w:t>
      </w:r>
      <w:proofErr w:type="gramEnd"/>
    </w:p>
    <w:p w:rsidR="0045593E" w:rsidRPr="0045593E" w:rsidRDefault="0045593E" w:rsidP="00570DDE">
      <w:pPr>
        <w:pStyle w:val="NoSpacing"/>
        <w:ind w:left="0"/>
        <w:rPr>
          <w:rFonts w:ascii="Times New Roman" w:hAnsi="Times New Roman" w:cs="Times New Roman"/>
        </w:rPr>
      </w:pPr>
    </w:p>
    <w:p w:rsidR="00CA77B6" w:rsidRDefault="0045593E" w:rsidP="00CA77B6">
      <w:pPr>
        <w:pStyle w:val="NoSpacing"/>
        <w:jc w:val="left"/>
        <w:rPr>
          <w:rFonts w:ascii="Times New Roman" w:hAnsi="Times New Roman" w:cs="Times New Roman"/>
        </w:rPr>
      </w:pPr>
      <w:proofErr w:type="gramStart"/>
      <w:r w:rsidRPr="0045593E">
        <w:rPr>
          <w:rFonts w:ascii="Times New Roman" w:hAnsi="Times New Roman" w:cs="Times New Roman"/>
        </w:rPr>
        <w:t>Mebarkia, A., Y. Rahbe, A. Guechi, A. Bouras, &amp; M. Makhlouf.</w:t>
      </w:r>
      <w:proofErr w:type="gramEnd"/>
      <w:r w:rsidRPr="0045593E">
        <w:rPr>
          <w:rFonts w:ascii="Times New Roman" w:hAnsi="Times New Roman" w:cs="Times New Roman"/>
        </w:rPr>
        <w:t xml:space="preserve"> 2010. Susceptibility of Twelve</w:t>
      </w:r>
    </w:p>
    <w:p w:rsidR="00CA77B6" w:rsidRDefault="00CA77B6" w:rsidP="00CA77B6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5593E" w:rsidRPr="0045593E">
        <w:rPr>
          <w:rFonts w:ascii="Times New Roman" w:hAnsi="Times New Roman" w:cs="Times New Roman"/>
        </w:rPr>
        <w:t xml:space="preserve"> Soft Wheat Varieties (</w:t>
      </w:r>
      <w:r w:rsidR="0045593E" w:rsidRPr="0045593E">
        <w:rPr>
          <w:rFonts w:ascii="Times New Roman" w:hAnsi="Times New Roman" w:cs="Times New Roman"/>
          <w:iCs/>
        </w:rPr>
        <w:t>Triticum aestivum</w:t>
      </w:r>
      <w:r w:rsidR="0045593E" w:rsidRPr="0045593E">
        <w:rPr>
          <w:rFonts w:ascii="Times New Roman" w:hAnsi="Times New Roman" w:cs="Times New Roman"/>
        </w:rPr>
        <w:t>) to</w:t>
      </w:r>
      <w:r w:rsidR="0045593E" w:rsidRPr="0045593E">
        <w:rPr>
          <w:rFonts w:ascii="Times New Roman" w:hAnsi="Times New Roman" w:cs="Times New Roman"/>
          <w:iCs/>
        </w:rPr>
        <w:t>Sitophilus granarius</w:t>
      </w:r>
      <w:r w:rsidR="0045593E" w:rsidRPr="0045593E">
        <w:rPr>
          <w:rFonts w:ascii="Times New Roman" w:hAnsi="Times New Roman" w:cs="Times New Roman"/>
        </w:rPr>
        <w:t xml:space="preserve"> (Coleop</w:t>
      </w:r>
      <w:r>
        <w:rPr>
          <w:rFonts w:ascii="Times New Roman" w:hAnsi="Times New Roman" w:cs="Times New Roman"/>
        </w:rPr>
        <w:t>tera</w:t>
      </w:r>
      <w:proofErr w:type="gramStart"/>
      <w:r>
        <w:rPr>
          <w:rFonts w:ascii="Times New Roman" w:hAnsi="Times New Roman" w:cs="Times New Roman"/>
        </w:rPr>
        <w:t>:Curculionidae</w:t>
      </w:r>
      <w:proofErr w:type="gramEnd"/>
      <w:r>
        <w:rPr>
          <w:rFonts w:ascii="Times New Roman" w:hAnsi="Times New Roman" w:cs="Times New Roman"/>
        </w:rPr>
        <w:t>).</w:t>
      </w:r>
    </w:p>
    <w:p w:rsidR="0045593E" w:rsidRPr="0045593E" w:rsidRDefault="00CA77B6" w:rsidP="00CA77B6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Agric and Biology </w:t>
      </w:r>
      <w:r w:rsidR="0045593E" w:rsidRPr="0045593E">
        <w:rPr>
          <w:rFonts w:ascii="Times New Roman" w:hAnsi="Times New Roman" w:cs="Times New Roman"/>
        </w:rPr>
        <w:t>J. North America 1(4):571 -578.</w:t>
      </w:r>
    </w:p>
    <w:p w:rsidR="0045593E" w:rsidRPr="0045593E" w:rsidRDefault="0045593E" w:rsidP="00570DDE">
      <w:pPr>
        <w:pStyle w:val="NoSpacing"/>
        <w:ind w:left="0"/>
        <w:rPr>
          <w:rFonts w:ascii="Times New Roman" w:hAnsi="Times New Roman" w:cs="Times New Roman"/>
        </w:rPr>
      </w:pPr>
    </w:p>
    <w:p w:rsidR="00570DDE" w:rsidRDefault="0045593E" w:rsidP="0045593E">
      <w:pPr>
        <w:pStyle w:val="NoSpacing"/>
        <w:rPr>
          <w:rFonts w:ascii="Times New Roman" w:hAnsi="Times New Roman" w:cs="Times New Roman"/>
        </w:rPr>
      </w:pPr>
      <w:r w:rsidRPr="0045593E">
        <w:rPr>
          <w:rFonts w:ascii="Times New Roman" w:hAnsi="Times New Roman" w:cs="Times New Roman"/>
        </w:rPr>
        <w:t>Omara, A.M., K.M. Al-Ghamdi, M.A.M. Mahmoud &amp; S.E. Sharawi. 2013. Repellency and</w:t>
      </w:r>
    </w:p>
    <w:p w:rsidR="00570DDE" w:rsidRDefault="00570DDE" w:rsidP="004559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5593E" w:rsidRPr="0045593E">
        <w:rPr>
          <w:rFonts w:ascii="Times New Roman" w:hAnsi="Times New Roman" w:cs="Times New Roman"/>
        </w:rPr>
        <w:t xml:space="preserve"> Fumigant Toxicity of Clove and Sesame Oils Against American Cockroach (Periplaneta</w:t>
      </w:r>
    </w:p>
    <w:p w:rsidR="0045593E" w:rsidRPr="0045593E" w:rsidRDefault="00570DDE" w:rsidP="00CB26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5593E" w:rsidRPr="0045593E">
        <w:rPr>
          <w:rFonts w:ascii="Times New Roman" w:hAnsi="Times New Roman" w:cs="Times New Roman"/>
        </w:rPr>
        <w:t xml:space="preserve"> </w:t>
      </w:r>
      <w:proofErr w:type="gramStart"/>
      <w:r w:rsidR="0045593E" w:rsidRPr="0045593E">
        <w:rPr>
          <w:rFonts w:ascii="Times New Roman" w:hAnsi="Times New Roman" w:cs="Times New Roman"/>
        </w:rPr>
        <w:t>americana</w:t>
      </w:r>
      <w:proofErr w:type="gramEnd"/>
      <w:r w:rsidR="0045593E" w:rsidRPr="0045593E">
        <w:rPr>
          <w:rFonts w:ascii="Times New Roman" w:hAnsi="Times New Roman" w:cs="Times New Roman"/>
        </w:rPr>
        <w:t xml:space="preserve"> L.). African Journal of Biotechnology 12(9</w:t>
      </w:r>
      <w:proofErr w:type="gramStart"/>
      <w:r w:rsidR="0045593E" w:rsidRPr="0045593E">
        <w:rPr>
          <w:rFonts w:ascii="Times New Roman" w:hAnsi="Times New Roman" w:cs="Times New Roman"/>
        </w:rPr>
        <w:t>) :</w:t>
      </w:r>
      <w:proofErr w:type="gramEnd"/>
      <w:r w:rsidR="0045593E" w:rsidRPr="0045593E">
        <w:rPr>
          <w:rFonts w:ascii="Times New Roman" w:hAnsi="Times New Roman" w:cs="Times New Roman"/>
        </w:rPr>
        <w:t xml:space="preserve"> 963-970.</w:t>
      </w:r>
    </w:p>
    <w:p w:rsidR="0045593E" w:rsidRPr="0045593E" w:rsidRDefault="0045593E" w:rsidP="0045593E">
      <w:pPr>
        <w:pStyle w:val="NoSpacing"/>
        <w:rPr>
          <w:rFonts w:ascii="Times New Roman" w:hAnsi="Times New Roman" w:cs="Times New Roman"/>
        </w:rPr>
      </w:pPr>
    </w:p>
    <w:p w:rsidR="00570DDE" w:rsidRDefault="0045593E" w:rsidP="0045593E">
      <w:pPr>
        <w:pStyle w:val="NoSpacing"/>
        <w:rPr>
          <w:rFonts w:ascii="Times New Roman" w:hAnsi="Times New Roman" w:cs="Times New Roman"/>
        </w:rPr>
      </w:pPr>
      <w:r w:rsidRPr="0045593E">
        <w:rPr>
          <w:rFonts w:ascii="Times New Roman" w:hAnsi="Times New Roman" w:cs="Times New Roman"/>
        </w:rPr>
        <w:t>Purwanti, S. 2004. Kajian Suhu Ruang Simpan terhadap Kualitas Benih Kedelai Hitam dan Kedelai</w:t>
      </w:r>
    </w:p>
    <w:p w:rsidR="0045593E" w:rsidRPr="0045593E" w:rsidRDefault="00570DDE" w:rsidP="00CB26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5593E" w:rsidRPr="0045593E">
        <w:rPr>
          <w:rFonts w:ascii="Times New Roman" w:hAnsi="Times New Roman" w:cs="Times New Roman"/>
        </w:rPr>
        <w:t xml:space="preserve"> </w:t>
      </w:r>
      <w:proofErr w:type="gramStart"/>
      <w:r w:rsidR="0045593E" w:rsidRPr="0045593E">
        <w:rPr>
          <w:rFonts w:ascii="Times New Roman" w:hAnsi="Times New Roman" w:cs="Times New Roman"/>
        </w:rPr>
        <w:t>Kuning.</w:t>
      </w:r>
      <w:proofErr w:type="gramEnd"/>
      <w:r w:rsidR="0045593E" w:rsidRPr="0045593E">
        <w:rPr>
          <w:rFonts w:ascii="Times New Roman" w:hAnsi="Times New Roman" w:cs="Times New Roman"/>
        </w:rPr>
        <w:t xml:space="preserve"> Ilmu Pertanian Vol. 11(1): 22-31.</w:t>
      </w:r>
    </w:p>
    <w:p w:rsidR="0045593E" w:rsidRPr="0045593E" w:rsidRDefault="0045593E" w:rsidP="0045593E">
      <w:pPr>
        <w:pStyle w:val="NoSpacing"/>
        <w:rPr>
          <w:rFonts w:ascii="Times New Roman" w:hAnsi="Times New Roman" w:cs="Times New Roman"/>
        </w:rPr>
      </w:pPr>
    </w:p>
    <w:p w:rsidR="00570DDE" w:rsidRDefault="0045593E" w:rsidP="0045593E">
      <w:pPr>
        <w:pStyle w:val="NoSpacing"/>
        <w:rPr>
          <w:rFonts w:ascii="Times New Roman" w:hAnsi="Times New Roman" w:cs="Times New Roman"/>
        </w:rPr>
      </w:pPr>
      <w:r w:rsidRPr="0045593E">
        <w:rPr>
          <w:rFonts w:ascii="Times New Roman" w:hAnsi="Times New Roman" w:cs="Times New Roman"/>
        </w:rPr>
        <w:t>Samuel, S. L. Purnamaningsih., N. Kendarini. 2011. Pengaruh Kadar Air terhadap Penurunan Mutu</w:t>
      </w:r>
    </w:p>
    <w:p w:rsidR="00570DDE" w:rsidRDefault="00570DDE" w:rsidP="004559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5593E" w:rsidRPr="0045593E">
        <w:rPr>
          <w:rFonts w:ascii="Times New Roman" w:hAnsi="Times New Roman" w:cs="Times New Roman"/>
        </w:rPr>
        <w:t xml:space="preserve"> Fisiologis Benih Kedelai (Glycine max (L) Merill) Varietas Gepak Kuning Selama dalam</w:t>
      </w:r>
    </w:p>
    <w:p w:rsidR="00570DDE" w:rsidRDefault="00570DDE" w:rsidP="00570DD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5593E" w:rsidRPr="0045593E">
        <w:rPr>
          <w:rFonts w:ascii="Times New Roman" w:hAnsi="Times New Roman" w:cs="Times New Roman"/>
        </w:rPr>
        <w:t xml:space="preserve"> </w:t>
      </w:r>
      <w:proofErr w:type="gramStart"/>
      <w:r w:rsidR="0045593E" w:rsidRPr="0045593E">
        <w:rPr>
          <w:rFonts w:ascii="Times New Roman" w:hAnsi="Times New Roman" w:cs="Times New Roman"/>
        </w:rPr>
        <w:t>Penyimpanan.</w:t>
      </w:r>
      <w:proofErr w:type="gramEnd"/>
      <w:r w:rsidR="0045593E" w:rsidRPr="0045593E">
        <w:rPr>
          <w:rFonts w:ascii="Times New Roman" w:hAnsi="Times New Roman" w:cs="Times New Roman"/>
        </w:rPr>
        <w:t xml:space="preserve"> </w:t>
      </w:r>
      <w:proofErr w:type="gramStart"/>
      <w:r w:rsidR="0045593E" w:rsidRPr="0045593E">
        <w:rPr>
          <w:rFonts w:ascii="Times New Roman" w:hAnsi="Times New Roman" w:cs="Times New Roman"/>
          <w:iCs/>
        </w:rPr>
        <w:t>Seminar Hasil Penelitian Tanaman Pangan</w:t>
      </w:r>
      <w:r w:rsidR="0045593E" w:rsidRPr="0045593E">
        <w:rPr>
          <w:rFonts w:ascii="Times New Roman" w:hAnsi="Times New Roman" w:cs="Times New Roman"/>
        </w:rPr>
        <w:t>.</w:t>
      </w:r>
      <w:proofErr w:type="gramEnd"/>
      <w:r w:rsidR="0045593E" w:rsidRPr="0045593E">
        <w:rPr>
          <w:rFonts w:ascii="Times New Roman" w:hAnsi="Times New Roman" w:cs="Times New Roman"/>
        </w:rPr>
        <w:t xml:space="preserve"> Balai Pengawasan dan Sertifikas</w:t>
      </w:r>
      <w:r>
        <w:rPr>
          <w:rFonts w:ascii="Times New Roman" w:hAnsi="Times New Roman" w:cs="Times New Roman"/>
        </w:rPr>
        <w:t>i</w:t>
      </w:r>
    </w:p>
    <w:p w:rsidR="0045593E" w:rsidRPr="0045593E" w:rsidRDefault="00570DDE" w:rsidP="00570DDE">
      <w:pPr>
        <w:pStyle w:val="NoSpacing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proofErr w:type="gramStart"/>
      <w:r w:rsidR="0045593E" w:rsidRPr="0045593E">
        <w:rPr>
          <w:rFonts w:ascii="Times New Roman" w:hAnsi="Times New Roman" w:cs="Times New Roman"/>
        </w:rPr>
        <w:t>Benih Tanaman Pangan dan Hortikultura.</w:t>
      </w:r>
      <w:proofErr w:type="gramEnd"/>
      <w:r w:rsidR="0045593E" w:rsidRPr="0045593E">
        <w:rPr>
          <w:rFonts w:ascii="Times New Roman" w:hAnsi="Times New Roman" w:cs="Times New Roman"/>
        </w:rPr>
        <w:t xml:space="preserve"> Jawa Timur. </w:t>
      </w:r>
    </w:p>
    <w:p w:rsidR="0045593E" w:rsidRPr="0045593E" w:rsidRDefault="0045593E" w:rsidP="001D6F67">
      <w:pPr>
        <w:pStyle w:val="NoSpacing"/>
        <w:ind w:left="0"/>
        <w:rPr>
          <w:rFonts w:ascii="Times New Roman" w:hAnsi="Times New Roman" w:cs="Times New Roman"/>
        </w:rPr>
      </w:pPr>
    </w:p>
    <w:p w:rsidR="00570DDE" w:rsidRDefault="0045593E" w:rsidP="0045593E">
      <w:pPr>
        <w:pStyle w:val="NoSpacing"/>
        <w:rPr>
          <w:rFonts w:ascii="Times New Roman" w:hAnsi="Times New Roman" w:cs="Times New Roman"/>
          <w:bCs/>
        </w:rPr>
      </w:pPr>
      <w:proofErr w:type="gramStart"/>
      <w:r w:rsidRPr="0045593E">
        <w:rPr>
          <w:rFonts w:ascii="Times New Roman" w:hAnsi="Times New Roman" w:cs="Times New Roman"/>
        </w:rPr>
        <w:t>Sumadi, A. Nuraini, &amp; A. Amalia.</w:t>
      </w:r>
      <w:proofErr w:type="gramEnd"/>
      <w:r w:rsidRPr="0045593E">
        <w:rPr>
          <w:rFonts w:ascii="Times New Roman" w:hAnsi="Times New Roman" w:cs="Times New Roman"/>
        </w:rPr>
        <w:t xml:space="preserve"> 2010. </w:t>
      </w:r>
      <w:r w:rsidRPr="0045593E">
        <w:rPr>
          <w:rFonts w:ascii="Times New Roman" w:hAnsi="Times New Roman" w:cs="Times New Roman"/>
          <w:bCs/>
        </w:rPr>
        <w:t>The Effect of Clove Oil Dosage on Population</w:t>
      </w:r>
    </w:p>
    <w:p w:rsidR="00570DDE" w:rsidRDefault="00570DDE" w:rsidP="0045593E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="0045593E" w:rsidRPr="0045593E">
        <w:rPr>
          <w:rFonts w:ascii="Times New Roman" w:hAnsi="Times New Roman" w:cs="Times New Roman"/>
          <w:bCs/>
        </w:rPr>
        <w:t xml:space="preserve"> </w:t>
      </w:r>
      <w:r w:rsidRPr="0045593E">
        <w:rPr>
          <w:rFonts w:ascii="Times New Roman" w:hAnsi="Times New Roman" w:cs="Times New Roman"/>
          <w:bCs/>
        </w:rPr>
        <w:t>O</w:t>
      </w:r>
      <w:r w:rsidR="0045593E" w:rsidRPr="0045593E">
        <w:rPr>
          <w:rFonts w:ascii="Times New Roman" w:hAnsi="Times New Roman" w:cs="Times New Roman"/>
          <w:bCs/>
        </w:rPr>
        <w:t>f</w:t>
      </w:r>
      <w:r>
        <w:rPr>
          <w:rFonts w:ascii="Times New Roman" w:hAnsi="Times New Roman" w:cs="Times New Roman"/>
          <w:bCs/>
        </w:rPr>
        <w:t xml:space="preserve"> </w:t>
      </w:r>
      <w:r w:rsidR="0045593E" w:rsidRPr="00570DDE">
        <w:rPr>
          <w:rFonts w:ascii="Times New Roman" w:hAnsi="Times New Roman" w:cs="Times New Roman"/>
          <w:bCs/>
          <w:i/>
          <w:iCs/>
        </w:rPr>
        <w:t>Callosobruchus maculatus</w:t>
      </w:r>
      <w:r w:rsidR="0045593E" w:rsidRPr="0045593E">
        <w:rPr>
          <w:rFonts w:ascii="Times New Roman" w:hAnsi="Times New Roman" w:cs="Times New Roman"/>
          <w:bCs/>
          <w:iCs/>
        </w:rPr>
        <w:t xml:space="preserve"> </w:t>
      </w:r>
      <w:r w:rsidR="0045593E" w:rsidRPr="0045593E">
        <w:rPr>
          <w:rFonts w:ascii="Times New Roman" w:hAnsi="Times New Roman" w:cs="Times New Roman"/>
          <w:bCs/>
        </w:rPr>
        <w:t xml:space="preserve">F., Seed Viability and Vigor of TwoSoybean CV </w:t>
      </w:r>
      <w:proofErr w:type="gramStart"/>
      <w:r w:rsidR="0045593E" w:rsidRPr="0045593E">
        <w:rPr>
          <w:rFonts w:ascii="Times New Roman" w:hAnsi="Times New Roman" w:cs="Times New Roman"/>
          <w:bCs/>
        </w:rPr>
        <w:t>After</w:t>
      </w:r>
      <w:proofErr w:type="gramEnd"/>
      <w:r w:rsidR="0045593E" w:rsidRPr="0045593E">
        <w:rPr>
          <w:rFonts w:ascii="Times New Roman" w:hAnsi="Times New Roman" w:cs="Times New Roman"/>
          <w:bCs/>
        </w:rPr>
        <w:t xml:space="preserve"> Three</w:t>
      </w:r>
    </w:p>
    <w:p w:rsidR="00570DDE" w:rsidRDefault="00570DDE" w:rsidP="0045593E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="0045593E" w:rsidRPr="0045593E">
        <w:rPr>
          <w:rFonts w:ascii="Times New Roman" w:hAnsi="Times New Roman" w:cs="Times New Roman"/>
          <w:bCs/>
        </w:rPr>
        <w:t xml:space="preserve"> </w:t>
      </w:r>
      <w:proofErr w:type="gramStart"/>
      <w:r w:rsidR="0045593E" w:rsidRPr="0045593E">
        <w:rPr>
          <w:rFonts w:ascii="Times New Roman" w:hAnsi="Times New Roman" w:cs="Times New Roman"/>
          <w:bCs/>
        </w:rPr>
        <w:t>Months Storage Duration.</w:t>
      </w:r>
      <w:proofErr w:type="gramEnd"/>
      <w:r w:rsidR="0045593E" w:rsidRPr="0045593E">
        <w:rPr>
          <w:rFonts w:ascii="Times New Roman" w:hAnsi="Times New Roman" w:cs="Times New Roman"/>
          <w:bCs/>
        </w:rPr>
        <w:t xml:space="preserve"> International Seminar Biotechnologi for Enhancemet the Tropical </w:t>
      </w:r>
    </w:p>
    <w:p w:rsidR="0045593E" w:rsidRPr="0045593E" w:rsidRDefault="00570DDE" w:rsidP="0045593E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proofErr w:type="gramStart"/>
      <w:r w:rsidR="0045593E" w:rsidRPr="0045593E">
        <w:rPr>
          <w:rFonts w:ascii="Times New Roman" w:hAnsi="Times New Roman" w:cs="Times New Roman"/>
          <w:bCs/>
        </w:rPr>
        <w:t>Biodiversity.</w:t>
      </w:r>
      <w:proofErr w:type="gramEnd"/>
      <w:r w:rsidR="0045593E" w:rsidRPr="0045593E">
        <w:rPr>
          <w:rFonts w:ascii="Times New Roman" w:hAnsi="Times New Roman" w:cs="Times New Roman"/>
          <w:bCs/>
        </w:rPr>
        <w:t xml:space="preserve"> Universitas Padjadjaran. </w:t>
      </w:r>
      <w:proofErr w:type="gramStart"/>
      <w:r w:rsidR="0045593E" w:rsidRPr="0045593E">
        <w:rPr>
          <w:rFonts w:ascii="Times New Roman" w:hAnsi="Times New Roman" w:cs="Times New Roman"/>
          <w:bCs/>
        </w:rPr>
        <w:t>105-106. Bandung.</w:t>
      </w:r>
      <w:proofErr w:type="gramEnd"/>
      <w:r w:rsidR="0045593E" w:rsidRPr="0045593E">
        <w:rPr>
          <w:rFonts w:ascii="Times New Roman" w:hAnsi="Times New Roman" w:cs="Times New Roman"/>
          <w:bCs/>
        </w:rPr>
        <w:t xml:space="preserve"> </w:t>
      </w:r>
    </w:p>
    <w:p w:rsidR="0045593E" w:rsidRPr="0045593E" w:rsidRDefault="0045593E" w:rsidP="0045593E">
      <w:pPr>
        <w:pStyle w:val="NoSpacing"/>
        <w:rPr>
          <w:rFonts w:ascii="Times New Roman" w:hAnsi="Times New Roman" w:cs="Times New Roman"/>
          <w:bCs/>
        </w:rPr>
      </w:pPr>
    </w:p>
    <w:p w:rsidR="00570DDE" w:rsidRDefault="0045593E" w:rsidP="0045593E">
      <w:pPr>
        <w:pStyle w:val="NoSpacing"/>
        <w:rPr>
          <w:rFonts w:ascii="Times New Roman" w:hAnsi="Times New Roman" w:cs="Times New Roman"/>
          <w:bCs/>
        </w:rPr>
      </w:pPr>
      <w:r w:rsidRPr="0045593E">
        <w:rPr>
          <w:rFonts w:ascii="Times New Roman" w:hAnsi="Times New Roman" w:cs="Times New Roman"/>
          <w:bCs/>
        </w:rPr>
        <w:t>Sumadi, A. Nuraini, &amp; Patmawati, S. 2008</w:t>
      </w:r>
      <w:r w:rsidR="007904D8">
        <w:rPr>
          <w:rFonts w:ascii="Times New Roman" w:hAnsi="Times New Roman" w:cs="Times New Roman"/>
          <w:bCs/>
        </w:rPr>
        <w:t>a</w:t>
      </w:r>
      <w:r w:rsidRPr="0045593E">
        <w:rPr>
          <w:rFonts w:ascii="Times New Roman" w:hAnsi="Times New Roman" w:cs="Times New Roman"/>
          <w:bCs/>
        </w:rPr>
        <w:t xml:space="preserve">. Pengaruh Kadar Air dan Dosis Minyak Cengkeh </w:t>
      </w:r>
    </w:p>
    <w:p w:rsidR="00570DDE" w:rsidRDefault="00570DDE" w:rsidP="0045593E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proofErr w:type="gramStart"/>
      <w:r w:rsidR="0045593E" w:rsidRPr="0045593E">
        <w:rPr>
          <w:rFonts w:ascii="Times New Roman" w:hAnsi="Times New Roman" w:cs="Times New Roman"/>
          <w:bCs/>
        </w:rPr>
        <w:t>terhadap</w:t>
      </w:r>
      <w:proofErr w:type="gramEnd"/>
      <w:r w:rsidR="0045593E" w:rsidRPr="0045593E">
        <w:rPr>
          <w:rFonts w:ascii="Times New Roman" w:hAnsi="Times New Roman" w:cs="Times New Roman"/>
          <w:bCs/>
        </w:rPr>
        <w:t xml:space="preserve"> Vigor Kedelai. </w:t>
      </w:r>
      <w:proofErr w:type="gramStart"/>
      <w:r w:rsidR="0045593E" w:rsidRPr="0045593E">
        <w:rPr>
          <w:rFonts w:ascii="Times New Roman" w:hAnsi="Times New Roman" w:cs="Times New Roman"/>
          <w:bCs/>
        </w:rPr>
        <w:t>Balai Penelitan Kacang</w:t>
      </w:r>
      <w:r>
        <w:rPr>
          <w:rFonts w:ascii="Times New Roman" w:hAnsi="Times New Roman" w:cs="Times New Roman"/>
          <w:bCs/>
        </w:rPr>
        <w:t xml:space="preserve"> </w:t>
      </w:r>
      <w:r w:rsidR="0045593E" w:rsidRPr="0045593E">
        <w:rPr>
          <w:rFonts w:ascii="Times New Roman" w:hAnsi="Times New Roman" w:cs="Times New Roman"/>
          <w:bCs/>
        </w:rPr>
        <w:t>kacangan dan Umbi-Umbian.</w:t>
      </w:r>
      <w:proofErr w:type="gramEnd"/>
      <w:r w:rsidR="0045593E" w:rsidRPr="0045593E">
        <w:rPr>
          <w:rFonts w:ascii="Times New Roman" w:hAnsi="Times New Roman" w:cs="Times New Roman"/>
          <w:bCs/>
        </w:rPr>
        <w:t xml:space="preserve"> Prosiding </w:t>
      </w:r>
    </w:p>
    <w:p w:rsidR="00570DDE" w:rsidRDefault="00570DDE" w:rsidP="0045593E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="0045593E" w:rsidRPr="0045593E">
        <w:rPr>
          <w:rFonts w:ascii="Times New Roman" w:hAnsi="Times New Roman" w:cs="Times New Roman"/>
          <w:bCs/>
        </w:rPr>
        <w:t xml:space="preserve">Seminar Nasional Inovasi Teknlogi Kacang-Kacangan dan Umbi-Umbian Mendukung </w:t>
      </w:r>
    </w:p>
    <w:p w:rsidR="004D4DF8" w:rsidRDefault="00570DDE" w:rsidP="0045593E">
      <w:pPr>
        <w:pStyle w:val="NoSpacing"/>
      </w:pPr>
      <w:r>
        <w:rPr>
          <w:rFonts w:ascii="Times New Roman" w:hAnsi="Times New Roman" w:cs="Times New Roman"/>
          <w:bCs/>
        </w:rPr>
        <w:t xml:space="preserve">          </w:t>
      </w:r>
      <w:proofErr w:type="gramStart"/>
      <w:r w:rsidR="0045593E" w:rsidRPr="0045593E">
        <w:rPr>
          <w:rFonts w:ascii="Times New Roman" w:hAnsi="Times New Roman" w:cs="Times New Roman"/>
          <w:bCs/>
        </w:rPr>
        <w:t>Kemandirian Pangan dan Kecukupan Energi.</w:t>
      </w:r>
      <w:proofErr w:type="gramEnd"/>
      <w:r w:rsidR="0045593E" w:rsidRPr="0045593E">
        <w:rPr>
          <w:rFonts w:ascii="Times New Roman" w:hAnsi="Times New Roman" w:cs="Times New Roman"/>
          <w:bCs/>
        </w:rPr>
        <w:t xml:space="preserve"> Balitkabi Malang.</w:t>
      </w:r>
      <w:r w:rsidR="004D4DF8" w:rsidRPr="004D4DF8">
        <w:t xml:space="preserve"> </w:t>
      </w:r>
    </w:p>
    <w:p w:rsidR="004D4DF8" w:rsidRDefault="004D4DF8" w:rsidP="0045593E">
      <w:pPr>
        <w:pStyle w:val="NoSpacing"/>
      </w:pPr>
    </w:p>
    <w:p w:rsidR="004D4DF8" w:rsidRDefault="004D4DF8" w:rsidP="004559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Sumadi, A. Nuraini dan I.R. Mustopa.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2008</w:t>
      </w:r>
      <w:r w:rsidR="007904D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4DF8">
        <w:rPr>
          <w:rFonts w:ascii="Times New Roman" w:hAnsi="Times New Roman" w:cs="Times New Roman"/>
          <w:sz w:val="24"/>
          <w:szCs w:val="24"/>
        </w:rPr>
        <w:t>Pengaruh dosis minyak cengkeh terhadap</w:t>
      </w:r>
    </w:p>
    <w:p w:rsidR="004D4DF8" w:rsidRDefault="004D4DF8" w:rsidP="004559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D4D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DF8">
        <w:rPr>
          <w:rFonts w:ascii="Times New Roman" w:hAnsi="Times New Roman" w:cs="Times New Roman"/>
          <w:sz w:val="24"/>
          <w:szCs w:val="24"/>
        </w:rPr>
        <w:t>vabilitas</w:t>
      </w:r>
      <w:proofErr w:type="gramEnd"/>
      <w:r w:rsidRPr="004D4DF8">
        <w:rPr>
          <w:rFonts w:ascii="Times New Roman" w:hAnsi="Times New Roman" w:cs="Times New Roman"/>
          <w:sz w:val="24"/>
          <w:szCs w:val="24"/>
        </w:rPr>
        <w:t xml:space="preserve"> dan vigor benih jagung pada berbagai investasi hama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4D4DF8">
        <w:rPr>
          <w:rFonts w:ascii="Times New Roman" w:hAnsi="Times New Roman" w:cs="Times New Roman"/>
          <w:i/>
          <w:sz w:val="24"/>
          <w:szCs w:val="24"/>
        </w:rPr>
        <w:t>itophilus zeamais</w:t>
      </w:r>
      <w:r w:rsidRPr="004D4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4C8" w:rsidRDefault="004D4DF8" w:rsidP="004559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D4DF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otsch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4D4DF8">
        <w:rPr>
          <w:rFonts w:ascii="Times New Roman" w:hAnsi="Times New Roman" w:cs="Times New Roman"/>
          <w:sz w:val="24"/>
          <w:szCs w:val="24"/>
        </w:rPr>
        <w:t>etelah penyimpanan</w:t>
      </w:r>
      <w:r w:rsidR="001644C8">
        <w:rPr>
          <w:rFonts w:ascii="Times New Roman" w:hAnsi="Times New Roman" w:cs="Times New Roman"/>
          <w:sz w:val="24"/>
          <w:szCs w:val="24"/>
        </w:rPr>
        <w:t xml:space="preserve">) . Prosiding </w:t>
      </w:r>
      <w:r w:rsidR="001644C8" w:rsidRPr="001644C8">
        <w:rPr>
          <w:rFonts w:ascii="Times New Roman" w:hAnsi="Times New Roman" w:cs="Times New Roman"/>
          <w:sz w:val="24"/>
          <w:szCs w:val="24"/>
        </w:rPr>
        <w:t xml:space="preserve">Seminar Nasional Perbenihan dan </w:t>
      </w:r>
    </w:p>
    <w:p w:rsidR="0045593E" w:rsidRPr="001644C8" w:rsidRDefault="001644C8" w:rsidP="0045593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644C8">
        <w:rPr>
          <w:rFonts w:ascii="Times New Roman" w:hAnsi="Times New Roman" w:cs="Times New Roman"/>
          <w:sz w:val="24"/>
          <w:szCs w:val="24"/>
        </w:rPr>
        <w:t>Kelembagaan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Fakultas Pertanian UPN. </w:t>
      </w:r>
      <w:proofErr w:type="gramStart"/>
      <w:r>
        <w:rPr>
          <w:rFonts w:ascii="Times New Roman" w:hAnsi="Times New Roman" w:cs="Times New Roman"/>
          <w:sz w:val="24"/>
          <w:szCs w:val="24"/>
        </w:rPr>
        <w:t>Yogyakarta.</w:t>
      </w:r>
      <w:proofErr w:type="gramEnd"/>
      <w:r w:rsidRPr="001644C8">
        <w:rPr>
          <w:rFonts w:ascii="Times New Roman" w:hAnsi="Times New Roman" w:cs="Times New Roman"/>
          <w:sz w:val="24"/>
          <w:szCs w:val="24"/>
        </w:rPr>
        <w:t xml:space="preserve"> </w:t>
      </w:r>
      <w:r w:rsidR="004D4DF8" w:rsidRPr="001644C8">
        <w:rPr>
          <w:rFonts w:ascii="Times New Roman" w:hAnsi="Times New Roman" w:cs="Times New Roman"/>
          <w:sz w:val="24"/>
          <w:szCs w:val="24"/>
        </w:rPr>
        <w:t>34</w:t>
      </w:r>
      <w:r w:rsidRPr="001644C8">
        <w:rPr>
          <w:rFonts w:ascii="Times New Roman" w:hAnsi="Times New Roman" w:cs="Times New Roman"/>
          <w:sz w:val="24"/>
          <w:szCs w:val="24"/>
        </w:rPr>
        <w:t>-40</w:t>
      </w:r>
    </w:p>
    <w:p w:rsidR="0045593E" w:rsidRPr="0045593E" w:rsidRDefault="0045593E" w:rsidP="001D6F67">
      <w:pPr>
        <w:pStyle w:val="NoSpacing"/>
        <w:ind w:left="0"/>
        <w:rPr>
          <w:rFonts w:ascii="Times New Roman" w:hAnsi="Times New Roman" w:cs="Times New Roman"/>
          <w:bCs/>
        </w:rPr>
      </w:pPr>
    </w:p>
    <w:p w:rsidR="00C31291" w:rsidRDefault="001D6F67" w:rsidP="001D6F67">
      <w:pPr>
        <w:pStyle w:val="NoSpacing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</w:rPr>
        <w:t xml:space="preserve">          </w:t>
      </w:r>
      <w:proofErr w:type="gramStart"/>
      <w:r w:rsidR="0045593E" w:rsidRPr="0045593E">
        <w:rPr>
          <w:rFonts w:ascii="Times New Roman" w:hAnsi="Times New Roman" w:cs="Times New Roman"/>
          <w:iCs/>
          <w:sz w:val="24"/>
          <w:szCs w:val="24"/>
        </w:rPr>
        <w:t>Suyono.</w:t>
      </w:r>
      <w:proofErr w:type="gramEnd"/>
      <w:r w:rsidR="0045593E" w:rsidRPr="0045593E">
        <w:rPr>
          <w:rFonts w:ascii="Times New Roman" w:hAnsi="Times New Roman" w:cs="Times New Roman"/>
          <w:iCs/>
          <w:sz w:val="24"/>
          <w:szCs w:val="24"/>
        </w:rPr>
        <w:t xml:space="preserve"> 1986. Aspek Biologi Kumbang </w:t>
      </w:r>
      <w:r w:rsidR="0045593E" w:rsidRPr="00C31291">
        <w:rPr>
          <w:rFonts w:ascii="Times New Roman" w:hAnsi="Times New Roman" w:cs="Times New Roman"/>
          <w:i/>
          <w:iCs/>
          <w:sz w:val="24"/>
          <w:szCs w:val="24"/>
        </w:rPr>
        <w:t>Callosobruchus maculatus</w:t>
      </w:r>
      <w:r w:rsidR="0045593E" w:rsidRPr="0045593E">
        <w:rPr>
          <w:rFonts w:ascii="Times New Roman" w:hAnsi="Times New Roman" w:cs="Times New Roman"/>
          <w:iCs/>
          <w:sz w:val="24"/>
          <w:szCs w:val="24"/>
        </w:rPr>
        <w:t xml:space="preserve"> F. </w:t>
      </w:r>
      <w:r w:rsidR="0045593E" w:rsidRPr="0045593E">
        <w:rPr>
          <w:rFonts w:ascii="Times New Roman" w:hAnsi="Times New Roman" w:cs="Times New Roman"/>
          <w:sz w:val="24"/>
          <w:szCs w:val="24"/>
        </w:rPr>
        <w:t>(Coleoptera:</w:t>
      </w:r>
    </w:p>
    <w:p w:rsidR="00C31291" w:rsidRDefault="00C31291" w:rsidP="0045593E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593E" w:rsidRPr="004559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593E" w:rsidRPr="0045593E">
        <w:rPr>
          <w:rFonts w:ascii="Times New Roman" w:hAnsi="Times New Roman" w:cs="Times New Roman"/>
          <w:sz w:val="24"/>
          <w:szCs w:val="24"/>
        </w:rPr>
        <w:t>Bruchidae</w:t>
      </w:r>
      <w:r w:rsidR="0045593E" w:rsidRPr="0045593E">
        <w:rPr>
          <w:rFonts w:ascii="Times New Roman" w:hAnsi="Times New Roman" w:cs="Times New Roman"/>
          <w:iCs/>
          <w:sz w:val="24"/>
          <w:szCs w:val="24"/>
        </w:rPr>
        <w:t>) pada Biji Kacang Hijau.</w:t>
      </w:r>
      <w:proofErr w:type="gramEnd"/>
      <w:r w:rsidR="0045593E" w:rsidRPr="0045593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45593E" w:rsidRPr="0045593E">
        <w:rPr>
          <w:rFonts w:ascii="Times New Roman" w:hAnsi="Times New Roman" w:cs="Times New Roman"/>
          <w:iCs/>
          <w:sz w:val="24"/>
          <w:szCs w:val="24"/>
        </w:rPr>
        <w:t>Seminar Hasil Penelitian Tanaman Pangan.</w:t>
      </w:r>
      <w:proofErr w:type="gramEnd"/>
    </w:p>
    <w:p w:rsidR="00E73037" w:rsidRDefault="00C31291" w:rsidP="00E73037">
      <w:pPr>
        <w:pStyle w:val="Default"/>
        <w:rPr>
          <w:iCs/>
        </w:rPr>
      </w:pPr>
      <w:r>
        <w:rPr>
          <w:iCs/>
        </w:rPr>
        <w:t xml:space="preserve">             </w:t>
      </w:r>
      <w:r w:rsidR="00E73037">
        <w:rPr>
          <w:iCs/>
        </w:rPr>
        <w:t xml:space="preserve">         </w:t>
      </w:r>
      <w:r w:rsidR="0045593E" w:rsidRPr="0045593E">
        <w:rPr>
          <w:iCs/>
        </w:rPr>
        <w:t xml:space="preserve"> Balai Penelitian Tanaman Pangan. Bogor. </w:t>
      </w:r>
    </w:p>
    <w:p w:rsidR="00E73037" w:rsidRDefault="00E73037" w:rsidP="00E73037">
      <w:pPr>
        <w:pStyle w:val="Default"/>
      </w:pPr>
    </w:p>
    <w:p w:rsidR="00E73037" w:rsidRDefault="00E73037" w:rsidP="00E73037">
      <w:pPr>
        <w:pStyle w:val="Default"/>
      </w:pPr>
      <w:r>
        <w:t xml:space="preserve">           </w:t>
      </w:r>
      <w:r w:rsidRPr="00E73037">
        <w:t>Tatipata</w:t>
      </w:r>
      <w:r>
        <w:t>, A</w:t>
      </w:r>
      <w:proofErr w:type="gramStart"/>
      <w:r>
        <w:t>.</w:t>
      </w:r>
      <w:r w:rsidRPr="00E73037">
        <w:t xml:space="preserve"> </w:t>
      </w:r>
      <w:r>
        <w:t>,</w:t>
      </w:r>
      <w:proofErr w:type="gramEnd"/>
      <w:r>
        <w:t xml:space="preserve"> P.</w:t>
      </w:r>
      <w:r w:rsidRPr="00E73037">
        <w:t xml:space="preserve"> Yudono </w:t>
      </w:r>
      <w:r>
        <w:t xml:space="preserve">, A. </w:t>
      </w:r>
      <w:r w:rsidRPr="00E73037">
        <w:t xml:space="preserve">Purwantoro </w:t>
      </w:r>
      <w:r>
        <w:t>dan W.</w:t>
      </w:r>
      <w:r w:rsidRPr="00E73037">
        <w:t xml:space="preserve"> Mangoendidjojo</w:t>
      </w:r>
      <w:r>
        <w:t>. 2004. Kajian aspek</w:t>
      </w:r>
    </w:p>
    <w:p w:rsidR="00E73037" w:rsidRDefault="00E73037" w:rsidP="00E73037">
      <w:pPr>
        <w:pStyle w:val="Default"/>
      </w:pPr>
      <w:r>
        <w:t xml:space="preserve">                     </w:t>
      </w:r>
      <w:proofErr w:type="gramStart"/>
      <w:r>
        <w:t>Fisiologi dan biokimia deteriorasi benih dalam penyimpana.</w:t>
      </w:r>
      <w:proofErr w:type="gramEnd"/>
      <w:r>
        <w:t xml:space="preserve"> Ilmu Pertanian (11)</w:t>
      </w:r>
    </w:p>
    <w:p w:rsidR="00E73037" w:rsidRPr="00E73037" w:rsidRDefault="00E73037" w:rsidP="00E73037">
      <w:pPr>
        <w:pStyle w:val="Default"/>
      </w:pPr>
      <w:r>
        <w:t xml:space="preserve">                     (</w:t>
      </w:r>
      <w:proofErr w:type="gramStart"/>
      <w:r>
        <w:t>2 )</w:t>
      </w:r>
      <w:proofErr w:type="gramEnd"/>
      <w:r>
        <w:t>:76-87</w:t>
      </w:r>
    </w:p>
    <w:p w:rsidR="0045593E" w:rsidRPr="00E73037" w:rsidRDefault="0045593E" w:rsidP="00E73037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:rsidR="00E73037" w:rsidRDefault="00E73037" w:rsidP="0045593E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:rsidR="00E73037" w:rsidRPr="0045593E" w:rsidRDefault="00E73037" w:rsidP="0045593E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:rsidR="0045593E" w:rsidRPr="0045593E" w:rsidRDefault="0045593E" w:rsidP="0045593E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:rsidR="0045593E" w:rsidRPr="00FE125E" w:rsidRDefault="0045593E" w:rsidP="0045593E">
      <w:pPr>
        <w:pStyle w:val="NoSpacing"/>
      </w:pPr>
    </w:p>
    <w:p w:rsidR="00A64865" w:rsidRPr="00733147" w:rsidRDefault="00A64865" w:rsidP="0045593E">
      <w:pPr>
        <w:pStyle w:val="NoSpacing"/>
      </w:pPr>
      <w:r>
        <w:t xml:space="preserve">         </w:t>
      </w:r>
    </w:p>
    <w:p w:rsidR="00733147" w:rsidRDefault="00733147" w:rsidP="0045593E">
      <w:pPr>
        <w:pStyle w:val="NoSpacing"/>
      </w:pPr>
    </w:p>
    <w:p w:rsidR="00733147" w:rsidRPr="00733147" w:rsidRDefault="00733147" w:rsidP="0045593E">
      <w:pPr>
        <w:pStyle w:val="NoSpacing"/>
      </w:pPr>
    </w:p>
    <w:sectPr w:rsidR="00733147" w:rsidRPr="00733147" w:rsidSect="00676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77C2C"/>
    <w:multiLevelType w:val="hybridMultilevel"/>
    <w:tmpl w:val="F886C4CC"/>
    <w:lvl w:ilvl="0" w:tplc="A596DA72">
      <w:start w:val="1"/>
      <w:numFmt w:val="upperRoman"/>
      <w:lvlText w:val="%1."/>
      <w:lvlJc w:val="left"/>
      <w:pPr>
        <w:ind w:left="128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>
    <w:nsid w:val="4F8E36DA"/>
    <w:multiLevelType w:val="hybridMultilevel"/>
    <w:tmpl w:val="37E0D75E"/>
    <w:lvl w:ilvl="0" w:tplc="7F8EDD02">
      <w:start w:val="1"/>
      <w:numFmt w:val="bullet"/>
      <w:lvlText w:val=""/>
      <w:lvlJc w:val="left"/>
      <w:pPr>
        <w:ind w:left="188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2">
    <w:nsid w:val="61D149F5"/>
    <w:multiLevelType w:val="hybridMultilevel"/>
    <w:tmpl w:val="EC96B4AC"/>
    <w:lvl w:ilvl="0" w:tplc="DAB87A86">
      <w:start w:val="1"/>
      <w:numFmt w:val="upperRoman"/>
      <w:lvlText w:val="%1."/>
      <w:lvlJc w:val="left"/>
      <w:pPr>
        <w:ind w:left="20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3">
    <w:nsid w:val="63741D46"/>
    <w:multiLevelType w:val="hybridMultilevel"/>
    <w:tmpl w:val="4B4632FE"/>
    <w:lvl w:ilvl="0" w:tplc="3A286F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733147"/>
    <w:rsid w:val="000A01D2"/>
    <w:rsid w:val="000B48D1"/>
    <w:rsid w:val="001644C8"/>
    <w:rsid w:val="001D6F67"/>
    <w:rsid w:val="00225975"/>
    <w:rsid w:val="00241617"/>
    <w:rsid w:val="002F60A2"/>
    <w:rsid w:val="00344BA3"/>
    <w:rsid w:val="003D49B0"/>
    <w:rsid w:val="00404B0D"/>
    <w:rsid w:val="00431970"/>
    <w:rsid w:val="0045593E"/>
    <w:rsid w:val="004775A8"/>
    <w:rsid w:val="004C078E"/>
    <w:rsid w:val="004D4DF8"/>
    <w:rsid w:val="00570DDE"/>
    <w:rsid w:val="00590C29"/>
    <w:rsid w:val="005F54CE"/>
    <w:rsid w:val="006666E8"/>
    <w:rsid w:val="00674429"/>
    <w:rsid w:val="0067683B"/>
    <w:rsid w:val="006D768D"/>
    <w:rsid w:val="00733147"/>
    <w:rsid w:val="00785C6C"/>
    <w:rsid w:val="007904D8"/>
    <w:rsid w:val="007D7680"/>
    <w:rsid w:val="007E669A"/>
    <w:rsid w:val="008140AE"/>
    <w:rsid w:val="008B0CBC"/>
    <w:rsid w:val="008B404A"/>
    <w:rsid w:val="008F1DD5"/>
    <w:rsid w:val="009233A4"/>
    <w:rsid w:val="00926BC2"/>
    <w:rsid w:val="00A64865"/>
    <w:rsid w:val="00A71132"/>
    <w:rsid w:val="00B564EF"/>
    <w:rsid w:val="00B5656F"/>
    <w:rsid w:val="00B639B5"/>
    <w:rsid w:val="00BA102D"/>
    <w:rsid w:val="00C31291"/>
    <w:rsid w:val="00C7053F"/>
    <w:rsid w:val="00CA77B6"/>
    <w:rsid w:val="00CB263A"/>
    <w:rsid w:val="00CE2435"/>
    <w:rsid w:val="00D54A7D"/>
    <w:rsid w:val="00D82E88"/>
    <w:rsid w:val="00DA3416"/>
    <w:rsid w:val="00DF1500"/>
    <w:rsid w:val="00E16BFF"/>
    <w:rsid w:val="00E73037"/>
    <w:rsid w:val="00E7445C"/>
    <w:rsid w:val="00E83620"/>
    <w:rsid w:val="00EA13F2"/>
    <w:rsid w:val="00EA20F4"/>
    <w:rsid w:val="00EB5840"/>
    <w:rsid w:val="00F22FFA"/>
    <w:rsid w:val="00F30FAD"/>
    <w:rsid w:val="00F912CC"/>
    <w:rsid w:val="00FC482B"/>
    <w:rsid w:val="00FE125E"/>
    <w:rsid w:val="00FE516D"/>
    <w:rsid w:val="00FF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147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A648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93E"/>
    <w:pPr>
      <w:spacing w:after="200" w:line="276" w:lineRule="auto"/>
      <w:ind w:left="720"/>
      <w:contextualSpacing/>
      <w:jc w:val="left"/>
    </w:pPr>
    <w:rPr>
      <w:lang w:val="id-ID"/>
    </w:rPr>
  </w:style>
  <w:style w:type="table" w:styleId="TableGrid">
    <w:name w:val="Table Grid"/>
    <w:basedOn w:val="TableNormal"/>
    <w:uiPriority w:val="59"/>
    <w:rsid w:val="00F30FA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3037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rsid w:val="00E7303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madi@unpa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Sumadi</dc:creator>
  <cp:lastModifiedBy>Sumadi</cp:lastModifiedBy>
  <cp:revision>2</cp:revision>
  <dcterms:created xsi:type="dcterms:W3CDTF">2018-02-16T02:36:00Z</dcterms:created>
  <dcterms:modified xsi:type="dcterms:W3CDTF">2018-02-16T02:36:00Z</dcterms:modified>
</cp:coreProperties>
</file>