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C81F" w14:textId="77777777" w:rsidR="00A7157A" w:rsidRPr="00447D2C" w:rsidRDefault="00A7157A" w:rsidP="00447D2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47D2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BIBLIOGRAPHY</w:t>
      </w:r>
    </w:p>
    <w:p w14:paraId="5BBD0230" w14:textId="1D7A4682" w:rsidR="00A7157A" w:rsidRPr="00447D2C" w:rsidRDefault="00A7157A" w:rsidP="00447D2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47D2C">
        <w:rPr>
          <w:rFonts w:asciiTheme="minorHAnsi" w:hAnsiTheme="minorHAnsi" w:cstheme="minorHAnsi"/>
          <w:b/>
          <w:bCs/>
          <w:sz w:val="22"/>
          <w:szCs w:val="22"/>
        </w:rPr>
        <w:t>BOOKS</w:t>
      </w:r>
    </w:p>
    <w:p w14:paraId="76EF9AE7" w14:textId="77777777" w:rsidR="005378F3" w:rsidRPr="00447D2C" w:rsidRDefault="005378F3" w:rsidP="00447D2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100D8B" w14:textId="04878BFD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Akintunde </w:t>
      </w:r>
      <w:proofErr w:type="spellStart"/>
      <w:r w:rsidRPr="00447D2C">
        <w:rPr>
          <w:rFonts w:cstheme="minorHAnsi"/>
          <w:sz w:val="22"/>
          <w:szCs w:val="22"/>
        </w:rPr>
        <w:t>Emiola</w:t>
      </w:r>
      <w:proofErr w:type="spellEnd"/>
      <w:r w:rsidRPr="00447D2C">
        <w:rPr>
          <w:rFonts w:cstheme="minorHAnsi"/>
          <w:sz w:val="22"/>
          <w:szCs w:val="22"/>
        </w:rPr>
        <w:t xml:space="preserve">, </w:t>
      </w:r>
      <w:r w:rsidRPr="00447D2C">
        <w:rPr>
          <w:rFonts w:cstheme="minorHAnsi"/>
          <w:i/>
          <w:iCs/>
          <w:sz w:val="22"/>
          <w:szCs w:val="22"/>
        </w:rPr>
        <w:t>Nigerian Labour Law</w:t>
      </w:r>
      <w:r w:rsidRPr="00447D2C">
        <w:rPr>
          <w:rFonts w:cstheme="minorHAnsi"/>
          <w:sz w:val="22"/>
          <w:szCs w:val="22"/>
        </w:rPr>
        <w:t>, 4</w:t>
      </w:r>
      <w:r w:rsidRPr="00447D2C">
        <w:rPr>
          <w:rFonts w:cstheme="minorHAnsi"/>
          <w:sz w:val="22"/>
          <w:szCs w:val="22"/>
          <w:vertAlign w:val="superscript"/>
        </w:rPr>
        <w:t>th</w:t>
      </w:r>
      <w:r w:rsidRPr="00447D2C">
        <w:rPr>
          <w:rFonts w:cstheme="minorHAnsi"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sz w:val="22"/>
          <w:szCs w:val="22"/>
        </w:rPr>
        <w:t>ed</w:t>
      </w:r>
      <w:r w:rsidRPr="00447D2C">
        <w:rPr>
          <w:rFonts w:cstheme="minorHAnsi"/>
          <w:color w:val="000000" w:themeColor="text1"/>
          <w:sz w:val="22"/>
          <w:szCs w:val="22"/>
        </w:rPr>
        <w:t>n</w:t>
      </w:r>
      <w:proofErr w:type="spellEnd"/>
      <w:r w:rsidRPr="00447D2C">
        <w:rPr>
          <w:rFonts w:cstheme="minorHAnsi"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sz w:val="22"/>
          <w:szCs w:val="22"/>
        </w:rPr>
        <w:t>Emiola</w:t>
      </w:r>
      <w:proofErr w:type="spellEnd"/>
      <w:r w:rsidRPr="00447D2C">
        <w:rPr>
          <w:rFonts w:cstheme="minorHAnsi"/>
          <w:sz w:val="22"/>
          <w:szCs w:val="22"/>
        </w:rPr>
        <w:t xml:space="preserve"> Publishers Limited, 2008, p. 5.</w:t>
      </w:r>
    </w:p>
    <w:p w14:paraId="5F122287" w14:textId="77777777" w:rsidR="00777477" w:rsidRPr="00447D2C" w:rsidRDefault="00777477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23E447B8" w14:textId="56CA5AB2" w:rsidR="000A5A1F" w:rsidRPr="00447D2C" w:rsidRDefault="000A5A1F" w:rsidP="00EC18E2">
      <w:pPr>
        <w:pStyle w:val="FootnoteText"/>
        <w:ind w:left="567" w:hanging="567"/>
        <w:jc w:val="both"/>
        <w:rPr>
          <w:rFonts w:cstheme="minorHAnsi"/>
          <w:sz w:val="22"/>
          <w:szCs w:val="22"/>
          <w:lang w:val="en"/>
        </w:rPr>
      </w:pPr>
      <w:r w:rsidRPr="00447D2C">
        <w:rPr>
          <w:rFonts w:cstheme="minorHAnsi"/>
          <w:sz w:val="22"/>
          <w:szCs w:val="22"/>
          <w:lang w:val="en"/>
        </w:rPr>
        <w:t xml:space="preserve">Baylis, Smith, S.  and Owens P. (2008) </w:t>
      </w:r>
      <w:r w:rsidRPr="00447D2C">
        <w:rPr>
          <w:rFonts w:cstheme="minorHAnsi"/>
          <w:i/>
          <w:iCs/>
          <w:sz w:val="22"/>
          <w:szCs w:val="22"/>
          <w:lang w:val="en"/>
        </w:rPr>
        <w:t xml:space="preserve">The </w:t>
      </w:r>
      <w:r w:rsidRPr="00447D2C">
        <w:rPr>
          <w:rFonts w:cstheme="minorHAnsi"/>
          <w:i/>
          <w:iCs/>
          <w:sz w:val="22"/>
          <w:szCs w:val="22"/>
        </w:rPr>
        <w:t>Globalisation</w:t>
      </w:r>
      <w:r w:rsidRPr="00447D2C">
        <w:rPr>
          <w:rFonts w:cstheme="minorHAnsi"/>
          <w:i/>
          <w:iCs/>
          <w:sz w:val="22"/>
          <w:szCs w:val="22"/>
          <w:lang w:val="en"/>
        </w:rPr>
        <w:t xml:space="preserve"> of World Politics: An Introduction to International Relations</w:t>
      </w:r>
      <w:r w:rsidRPr="00447D2C">
        <w:rPr>
          <w:rFonts w:cstheme="minorHAnsi"/>
          <w:sz w:val="22"/>
          <w:szCs w:val="22"/>
          <w:lang w:val="en"/>
        </w:rPr>
        <w:t>: (4th ed). New York: Oxford University Press.</w:t>
      </w:r>
    </w:p>
    <w:p w14:paraId="07A0167E" w14:textId="6FBFD228" w:rsidR="000A5A1F" w:rsidRPr="00447D2C" w:rsidRDefault="000A5A1F" w:rsidP="00EC18E2">
      <w:pPr>
        <w:pStyle w:val="FootnoteText"/>
        <w:ind w:left="567"/>
        <w:jc w:val="both"/>
        <w:rPr>
          <w:rFonts w:cstheme="minorHAnsi"/>
          <w:iCs/>
          <w:sz w:val="22"/>
          <w:szCs w:val="22"/>
        </w:rPr>
      </w:pPr>
      <w:proofErr w:type="spellStart"/>
      <w:r w:rsidRPr="00447D2C">
        <w:rPr>
          <w:rFonts w:cstheme="minorHAnsi"/>
          <w:iCs/>
          <w:sz w:val="22"/>
          <w:szCs w:val="22"/>
        </w:rPr>
        <w:t>Chigozie</w:t>
      </w:r>
      <w:proofErr w:type="spellEnd"/>
      <w:r w:rsidRPr="00447D2C">
        <w:rPr>
          <w:rFonts w:cstheme="minorHAnsi"/>
          <w:iCs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iCs/>
          <w:sz w:val="22"/>
          <w:szCs w:val="22"/>
        </w:rPr>
        <w:t>Nwagbara</w:t>
      </w:r>
      <w:proofErr w:type="spellEnd"/>
      <w:r w:rsidRPr="00447D2C">
        <w:rPr>
          <w:rFonts w:cstheme="minorHAnsi"/>
          <w:iCs/>
          <w:sz w:val="22"/>
          <w:szCs w:val="22"/>
        </w:rPr>
        <w:t xml:space="preserve">, </w:t>
      </w:r>
      <w:r w:rsidRPr="00447D2C">
        <w:rPr>
          <w:rFonts w:cstheme="minorHAnsi"/>
          <w:i/>
          <w:sz w:val="22"/>
          <w:szCs w:val="22"/>
        </w:rPr>
        <w:t>Determination of Contract of Employment and Remedies for Wrongful Dismissal</w:t>
      </w:r>
      <w:r w:rsidRPr="00447D2C">
        <w:rPr>
          <w:rFonts w:cstheme="minorHAnsi"/>
          <w:iCs/>
          <w:sz w:val="22"/>
          <w:szCs w:val="22"/>
        </w:rPr>
        <w:t xml:space="preserve"> (Tait Publishers 2000) 106.</w:t>
      </w:r>
    </w:p>
    <w:p w14:paraId="2CEE4CC8" w14:textId="77777777" w:rsidR="00777477" w:rsidRPr="00447D2C" w:rsidRDefault="00777477" w:rsidP="00447D2C">
      <w:pPr>
        <w:pStyle w:val="FootnoteText"/>
        <w:jc w:val="both"/>
        <w:rPr>
          <w:rFonts w:cstheme="minorHAnsi"/>
          <w:iCs/>
          <w:sz w:val="22"/>
          <w:szCs w:val="22"/>
        </w:rPr>
      </w:pPr>
    </w:p>
    <w:p w14:paraId="238B9F8A" w14:textId="0A783191" w:rsidR="000A5A1F" w:rsidRDefault="000A5A1F" w:rsidP="00EC18E2">
      <w:pPr>
        <w:pStyle w:val="FootnoteText"/>
        <w:ind w:left="567" w:hanging="567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 xml:space="preserve">Chris O </w:t>
      </w:r>
      <w:proofErr w:type="spellStart"/>
      <w:r w:rsidRPr="00447D2C">
        <w:rPr>
          <w:rFonts w:cstheme="minorHAnsi"/>
          <w:bCs/>
          <w:iCs/>
          <w:sz w:val="22"/>
          <w:szCs w:val="22"/>
        </w:rPr>
        <w:t>Ajila</w:t>
      </w:r>
      <w:proofErr w:type="spellEnd"/>
      <w:r w:rsidRPr="00447D2C">
        <w:rPr>
          <w:rFonts w:cstheme="minorHAnsi"/>
          <w:bCs/>
          <w:iCs/>
          <w:sz w:val="22"/>
          <w:szCs w:val="22"/>
        </w:rPr>
        <w:t xml:space="preserve">, </w:t>
      </w:r>
      <w:r w:rsidRPr="00447D2C">
        <w:rPr>
          <w:rFonts w:cstheme="minorHAnsi"/>
          <w:bCs/>
          <w:i/>
          <w:iCs/>
          <w:sz w:val="22"/>
          <w:szCs w:val="22"/>
        </w:rPr>
        <w:t>People and Organisations: The Dynamics of Workplace Behaviour</w:t>
      </w:r>
      <w:r w:rsidRPr="00447D2C">
        <w:rPr>
          <w:rFonts w:cstheme="minorHAnsi"/>
          <w:bCs/>
          <w:iCs/>
          <w:sz w:val="22"/>
          <w:szCs w:val="22"/>
        </w:rPr>
        <w:t>, Inaugural Lecture Series 261, Obafemi Awolowo University 11</w:t>
      </w:r>
      <w:r w:rsidRPr="00447D2C">
        <w:rPr>
          <w:rFonts w:cstheme="minorHAnsi"/>
          <w:bCs/>
          <w:iCs/>
          <w:sz w:val="22"/>
          <w:szCs w:val="22"/>
          <w:vertAlign w:val="superscript"/>
        </w:rPr>
        <w:t>th</w:t>
      </w:r>
      <w:r w:rsidRPr="00447D2C">
        <w:rPr>
          <w:rFonts w:cstheme="minorHAnsi"/>
          <w:bCs/>
          <w:iCs/>
          <w:sz w:val="22"/>
          <w:szCs w:val="22"/>
        </w:rPr>
        <w:t xml:space="preserve"> February 2014 p.6.</w:t>
      </w:r>
    </w:p>
    <w:p w14:paraId="40123682" w14:textId="77777777" w:rsidR="00EC18E2" w:rsidRPr="00447D2C" w:rsidRDefault="00EC18E2" w:rsidP="00EC18E2">
      <w:pPr>
        <w:pStyle w:val="FootnoteText"/>
        <w:ind w:left="567" w:hanging="567"/>
        <w:jc w:val="both"/>
        <w:rPr>
          <w:rFonts w:cstheme="minorHAnsi"/>
          <w:bCs/>
          <w:iCs/>
          <w:sz w:val="22"/>
          <w:szCs w:val="22"/>
        </w:rPr>
      </w:pPr>
    </w:p>
    <w:p w14:paraId="3E743AB6" w14:textId="15C1E0DC" w:rsidR="000A5A1F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proofErr w:type="spellStart"/>
      <w:r w:rsidRPr="00447D2C">
        <w:rPr>
          <w:rFonts w:cstheme="minorHAnsi"/>
          <w:sz w:val="22"/>
          <w:szCs w:val="22"/>
        </w:rPr>
        <w:t>Dafe</w:t>
      </w:r>
      <w:proofErr w:type="spellEnd"/>
      <w:r w:rsidRPr="00447D2C">
        <w:rPr>
          <w:rFonts w:cstheme="minorHAnsi"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sz w:val="22"/>
          <w:szCs w:val="22"/>
        </w:rPr>
        <w:t>Otobo</w:t>
      </w:r>
      <w:proofErr w:type="spellEnd"/>
      <w:r w:rsidRPr="00447D2C">
        <w:rPr>
          <w:rFonts w:cstheme="minorHAnsi"/>
          <w:sz w:val="22"/>
          <w:szCs w:val="22"/>
        </w:rPr>
        <w:t xml:space="preserve">, </w:t>
      </w:r>
      <w:r w:rsidRPr="00447D2C">
        <w:rPr>
          <w:rFonts w:cstheme="minorHAnsi"/>
          <w:i/>
          <w:iCs/>
          <w:sz w:val="22"/>
          <w:szCs w:val="22"/>
        </w:rPr>
        <w:t>Industrial Relations: Theory and Controversies,</w:t>
      </w:r>
      <w:r w:rsidRPr="00447D2C">
        <w:rPr>
          <w:rFonts w:cstheme="minorHAnsi"/>
          <w:sz w:val="22"/>
          <w:szCs w:val="22"/>
        </w:rPr>
        <w:t xml:space="preserve"> Malthouse Press Limited 2013, p. 7.</w:t>
      </w:r>
    </w:p>
    <w:p w14:paraId="49DC2446" w14:textId="77777777" w:rsidR="00EC18E2" w:rsidRPr="00447D2C" w:rsidRDefault="00EC18E2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0BFD4032" w14:textId="77777777" w:rsidR="000A5A1F" w:rsidRPr="00447D2C" w:rsidRDefault="000A5A1F" w:rsidP="00EC18E2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  <w:proofErr w:type="spellStart"/>
      <w:r w:rsidRPr="00447D2C">
        <w:rPr>
          <w:rFonts w:cstheme="minorHAnsi"/>
          <w:sz w:val="22"/>
          <w:szCs w:val="22"/>
        </w:rPr>
        <w:t>Oladosu</w:t>
      </w:r>
      <w:proofErr w:type="spellEnd"/>
      <w:r w:rsidRPr="00447D2C">
        <w:rPr>
          <w:rFonts w:cstheme="minorHAnsi"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sz w:val="22"/>
          <w:szCs w:val="22"/>
        </w:rPr>
        <w:t>Ogunniyi</w:t>
      </w:r>
      <w:proofErr w:type="spellEnd"/>
      <w:r w:rsidRPr="00447D2C">
        <w:rPr>
          <w:rFonts w:cstheme="minorHAnsi"/>
          <w:sz w:val="22"/>
          <w:szCs w:val="22"/>
        </w:rPr>
        <w:t xml:space="preserve">, </w:t>
      </w:r>
      <w:r w:rsidRPr="00447D2C">
        <w:rPr>
          <w:rFonts w:cstheme="minorHAnsi"/>
          <w:i/>
          <w:iCs/>
          <w:sz w:val="22"/>
          <w:szCs w:val="22"/>
        </w:rPr>
        <w:t>Nigerian Labour and Employment Law in Perspective</w:t>
      </w:r>
      <w:r w:rsidRPr="00447D2C">
        <w:rPr>
          <w:rFonts w:cstheme="minorHAnsi"/>
          <w:sz w:val="22"/>
          <w:szCs w:val="22"/>
        </w:rPr>
        <w:t xml:space="preserve">, 2nd </w:t>
      </w:r>
      <w:proofErr w:type="spellStart"/>
      <w:r w:rsidRPr="00447D2C">
        <w:rPr>
          <w:rFonts w:cstheme="minorHAnsi"/>
          <w:sz w:val="22"/>
          <w:szCs w:val="22"/>
        </w:rPr>
        <w:t>ed</w:t>
      </w:r>
      <w:r w:rsidRPr="00447D2C">
        <w:rPr>
          <w:rFonts w:cstheme="minorHAnsi"/>
          <w:color w:val="000000" w:themeColor="text1"/>
          <w:sz w:val="22"/>
          <w:szCs w:val="22"/>
        </w:rPr>
        <w:t>n</w:t>
      </w:r>
      <w:proofErr w:type="spellEnd"/>
      <w:r w:rsidRPr="00447D2C">
        <w:rPr>
          <w:rFonts w:cstheme="minorHAnsi"/>
          <w:sz w:val="22"/>
          <w:szCs w:val="22"/>
        </w:rPr>
        <w:t>, Folio Publishers Limited 2004</w:t>
      </w:r>
    </w:p>
    <w:p w14:paraId="3605B67A" w14:textId="77777777" w:rsidR="00673B39" w:rsidRDefault="00673B39" w:rsidP="00EC18E2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</w:p>
    <w:p w14:paraId="0D947D1B" w14:textId="36A6BF4D" w:rsidR="000A5A1F" w:rsidRPr="00447D2C" w:rsidRDefault="000A5A1F" w:rsidP="00EC18E2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  <w:proofErr w:type="spellStart"/>
      <w:r w:rsidRPr="00447D2C">
        <w:rPr>
          <w:rFonts w:cstheme="minorHAnsi"/>
          <w:sz w:val="22"/>
          <w:szCs w:val="22"/>
        </w:rPr>
        <w:t>Olawunmi</w:t>
      </w:r>
      <w:proofErr w:type="spellEnd"/>
      <w:r w:rsidRPr="00447D2C">
        <w:rPr>
          <w:rFonts w:cstheme="minorHAnsi"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sz w:val="22"/>
          <w:szCs w:val="22"/>
        </w:rPr>
        <w:t>Omitogun</w:t>
      </w:r>
      <w:proofErr w:type="spellEnd"/>
      <w:r w:rsidRPr="00447D2C">
        <w:rPr>
          <w:rFonts w:cstheme="minorHAnsi"/>
          <w:sz w:val="22"/>
          <w:szCs w:val="22"/>
        </w:rPr>
        <w:t xml:space="preserve"> and </w:t>
      </w:r>
      <w:proofErr w:type="spellStart"/>
      <w:r w:rsidRPr="00447D2C">
        <w:rPr>
          <w:rFonts w:cstheme="minorHAnsi"/>
          <w:sz w:val="22"/>
          <w:szCs w:val="22"/>
        </w:rPr>
        <w:t>Adedayo</w:t>
      </w:r>
      <w:proofErr w:type="spellEnd"/>
      <w:r w:rsidRPr="00447D2C">
        <w:rPr>
          <w:rFonts w:cstheme="minorHAnsi"/>
          <w:sz w:val="22"/>
          <w:szCs w:val="22"/>
        </w:rPr>
        <w:t xml:space="preserve"> Emmanuel </w:t>
      </w:r>
      <w:proofErr w:type="spellStart"/>
      <w:r w:rsidRPr="00447D2C">
        <w:rPr>
          <w:rFonts w:cstheme="minorHAnsi"/>
          <w:sz w:val="22"/>
          <w:szCs w:val="22"/>
        </w:rPr>
        <w:t>Longe</w:t>
      </w:r>
      <w:proofErr w:type="spellEnd"/>
      <w:r w:rsidRPr="00447D2C">
        <w:rPr>
          <w:rFonts w:cstheme="minorHAnsi"/>
          <w:sz w:val="22"/>
          <w:szCs w:val="22"/>
        </w:rPr>
        <w:t xml:space="preserve"> “Unemployment and Economic Growth in Nigeria in the 21</w:t>
      </w:r>
      <w:r w:rsidRPr="00447D2C">
        <w:rPr>
          <w:rFonts w:cstheme="minorHAnsi"/>
          <w:sz w:val="22"/>
          <w:szCs w:val="22"/>
          <w:vertAlign w:val="superscript"/>
        </w:rPr>
        <w:t>st</w:t>
      </w:r>
      <w:r w:rsidRPr="00447D2C">
        <w:rPr>
          <w:rFonts w:cstheme="minorHAnsi"/>
          <w:sz w:val="22"/>
          <w:szCs w:val="22"/>
        </w:rPr>
        <w:t xml:space="preserve"> Century: VAR Approach” </w:t>
      </w:r>
      <w:r w:rsidRPr="00447D2C">
        <w:rPr>
          <w:rFonts w:cstheme="minorHAnsi"/>
          <w:i/>
          <w:iCs/>
          <w:sz w:val="22"/>
          <w:szCs w:val="22"/>
        </w:rPr>
        <w:t xml:space="preserve">Acta Universitatis </w:t>
      </w:r>
      <w:proofErr w:type="spellStart"/>
      <w:r w:rsidRPr="00447D2C">
        <w:rPr>
          <w:rFonts w:cstheme="minorHAnsi"/>
          <w:i/>
          <w:iCs/>
          <w:sz w:val="22"/>
          <w:szCs w:val="22"/>
        </w:rPr>
        <w:t>Danubius</w:t>
      </w:r>
      <w:proofErr w:type="spellEnd"/>
      <w:r w:rsidRPr="00447D2C">
        <w:rPr>
          <w:rFonts w:cstheme="minorHAnsi"/>
          <w:sz w:val="22"/>
          <w:szCs w:val="22"/>
        </w:rPr>
        <w:t xml:space="preserve"> (</w:t>
      </w:r>
      <w:proofErr w:type="gramStart"/>
      <w:r w:rsidRPr="00447D2C">
        <w:rPr>
          <w:rFonts w:cstheme="minorHAnsi"/>
          <w:sz w:val="22"/>
          <w:szCs w:val="22"/>
        </w:rPr>
        <w:t>2017)(</w:t>
      </w:r>
      <w:proofErr w:type="gramEnd"/>
      <w:r w:rsidRPr="00447D2C">
        <w:rPr>
          <w:rFonts w:cstheme="minorHAnsi"/>
          <w:sz w:val="22"/>
          <w:szCs w:val="22"/>
        </w:rPr>
        <w:t>13)(5) 155</w:t>
      </w:r>
    </w:p>
    <w:p w14:paraId="015F0A07" w14:textId="77777777" w:rsidR="00673B39" w:rsidRDefault="00673B39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14903E77" w14:textId="1436476E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SC Srivastava, </w:t>
      </w:r>
      <w:r w:rsidRPr="00447D2C">
        <w:rPr>
          <w:rFonts w:cstheme="minorHAnsi"/>
          <w:i/>
          <w:iCs/>
          <w:sz w:val="22"/>
          <w:szCs w:val="22"/>
        </w:rPr>
        <w:t>Industrial Relations and Labour Law</w:t>
      </w:r>
      <w:r w:rsidRPr="00447D2C">
        <w:rPr>
          <w:rFonts w:cstheme="minorHAnsi"/>
          <w:sz w:val="22"/>
          <w:szCs w:val="22"/>
        </w:rPr>
        <w:t xml:space="preserve"> (5</w:t>
      </w:r>
      <w:r w:rsidRPr="00447D2C">
        <w:rPr>
          <w:rFonts w:cstheme="minorHAnsi"/>
          <w:sz w:val="22"/>
          <w:szCs w:val="22"/>
          <w:vertAlign w:val="superscript"/>
        </w:rPr>
        <w:t>th</w:t>
      </w:r>
      <w:r w:rsidRPr="00447D2C">
        <w:rPr>
          <w:rFonts w:cstheme="minorHAnsi"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sz w:val="22"/>
          <w:szCs w:val="22"/>
        </w:rPr>
        <w:t>ed</w:t>
      </w:r>
      <w:r w:rsidRPr="00447D2C">
        <w:rPr>
          <w:rFonts w:cstheme="minorHAnsi"/>
          <w:color w:val="C00000"/>
          <w:sz w:val="22"/>
          <w:szCs w:val="22"/>
        </w:rPr>
        <w:t>n</w:t>
      </w:r>
      <w:proofErr w:type="spellEnd"/>
      <w:r w:rsidRPr="00447D2C">
        <w:rPr>
          <w:rFonts w:cstheme="minorHAnsi"/>
          <w:sz w:val="22"/>
          <w:szCs w:val="22"/>
        </w:rPr>
        <w:t>, Vikas Publishing House PVT Ltd 2007) 327.</w:t>
      </w:r>
    </w:p>
    <w:p w14:paraId="2B11E812" w14:textId="77777777" w:rsidR="00673B39" w:rsidRDefault="00673B39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7CB923E8" w14:textId="36105176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Tayo </w:t>
      </w:r>
      <w:proofErr w:type="spellStart"/>
      <w:r w:rsidRPr="00447D2C">
        <w:rPr>
          <w:rFonts w:cstheme="minorHAnsi"/>
          <w:sz w:val="22"/>
          <w:szCs w:val="22"/>
        </w:rPr>
        <w:t>Fashoyin</w:t>
      </w:r>
      <w:proofErr w:type="spellEnd"/>
      <w:r w:rsidRPr="00447D2C">
        <w:rPr>
          <w:rFonts w:cstheme="minorHAnsi"/>
          <w:sz w:val="22"/>
          <w:szCs w:val="22"/>
        </w:rPr>
        <w:t xml:space="preserve">, </w:t>
      </w:r>
      <w:r w:rsidRPr="00447D2C">
        <w:rPr>
          <w:rFonts w:cstheme="minorHAnsi"/>
          <w:i/>
          <w:sz w:val="22"/>
          <w:szCs w:val="22"/>
        </w:rPr>
        <w:t>Industrial Relations in Nigeria: Development and Practice</w:t>
      </w:r>
      <w:r w:rsidRPr="00447D2C">
        <w:rPr>
          <w:rFonts w:cstheme="minorHAnsi"/>
          <w:sz w:val="22"/>
          <w:szCs w:val="22"/>
        </w:rPr>
        <w:t xml:space="preserve"> 2</w:t>
      </w:r>
      <w:r w:rsidRPr="00447D2C">
        <w:rPr>
          <w:rFonts w:cstheme="minorHAnsi"/>
          <w:sz w:val="22"/>
          <w:szCs w:val="22"/>
          <w:vertAlign w:val="superscript"/>
        </w:rPr>
        <w:t>nd</w:t>
      </w:r>
      <w:r w:rsidRPr="00447D2C">
        <w:rPr>
          <w:rFonts w:cstheme="minorHAnsi"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sz w:val="22"/>
          <w:szCs w:val="22"/>
        </w:rPr>
        <w:t>ed</w:t>
      </w:r>
      <w:r w:rsidRPr="00447D2C">
        <w:rPr>
          <w:rFonts w:cstheme="minorHAnsi"/>
          <w:color w:val="000000" w:themeColor="text1"/>
          <w:sz w:val="22"/>
          <w:szCs w:val="22"/>
        </w:rPr>
        <w:t>n</w:t>
      </w:r>
      <w:proofErr w:type="spellEnd"/>
      <w:r w:rsidRPr="00447D2C">
        <w:rPr>
          <w:rFonts w:cstheme="minorHAnsi"/>
          <w:sz w:val="22"/>
          <w:szCs w:val="22"/>
        </w:rPr>
        <w:t>., Learn Africa Plc 1992 p. 11</w:t>
      </w:r>
      <w:r w:rsidRPr="00447D2C">
        <w:rPr>
          <w:rFonts w:cstheme="minorHAnsi"/>
          <w:bCs/>
          <w:iCs/>
          <w:sz w:val="22"/>
          <w:szCs w:val="22"/>
        </w:rPr>
        <w:t>.</w:t>
      </w:r>
    </w:p>
    <w:p w14:paraId="4CDEC91F" w14:textId="77777777" w:rsidR="000A5A1F" w:rsidRPr="00447D2C" w:rsidRDefault="000A5A1F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5388A2C8" w14:textId="77777777" w:rsidR="000A5A1F" w:rsidRPr="00447D2C" w:rsidRDefault="000A5A1F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45E8A308" w14:textId="77777777" w:rsidR="000A5A1F" w:rsidRPr="00447D2C" w:rsidRDefault="000A5A1F" w:rsidP="00447D2C">
      <w:pPr>
        <w:pStyle w:val="FootnoteText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42FCDA96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1DEC3E91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3E8FBDCE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35D45181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309D0983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15BC0013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1A78BEAC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5FB2F554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482A786B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4B9DD8B8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072B2BEC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35ABC2A6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41881071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35641662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450B42EE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710F7698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7C671A54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6F116148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5F4B70CA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78410177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2FE0E7A4" w14:textId="77777777" w:rsidR="00447D2C" w:rsidRDefault="00447D2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7B3FEA34" w14:textId="6900D56D" w:rsidR="00447D2C" w:rsidRDefault="00447D2C" w:rsidP="00673B39">
      <w:pPr>
        <w:pStyle w:val="FootnoteText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60089D19" w14:textId="77777777" w:rsidR="00673B39" w:rsidRDefault="00673B39" w:rsidP="00673B39">
      <w:pPr>
        <w:pStyle w:val="FootnoteText"/>
        <w:jc w:val="both"/>
        <w:rPr>
          <w:rFonts w:cstheme="minorHAnsi"/>
          <w:b/>
          <w:bCs/>
          <w:sz w:val="22"/>
          <w:szCs w:val="22"/>
          <w:lang w:val="en"/>
        </w:rPr>
      </w:pPr>
    </w:p>
    <w:p w14:paraId="3970E646" w14:textId="2A0775D3" w:rsidR="000A5A1F" w:rsidRPr="00447D2C" w:rsidRDefault="002F39EC" w:rsidP="00447D2C">
      <w:pPr>
        <w:pStyle w:val="FootnoteText"/>
        <w:ind w:left="900" w:hanging="900"/>
        <w:jc w:val="both"/>
        <w:rPr>
          <w:rFonts w:cstheme="minorHAnsi"/>
          <w:b/>
          <w:bCs/>
          <w:sz w:val="22"/>
          <w:szCs w:val="22"/>
          <w:lang w:val="en"/>
        </w:rPr>
      </w:pPr>
      <w:r w:rsidRPr="00447D2C">
        <w:rPr>
          <w:rFonts w:cstheme="minorHAnsi"/>
          <w:b/>
          <w:bCs/>
          <w:sz w:val="22"/>
          <w:szCs w:val="22"/>
          <w:lang w:val="en"/>
        </w:rPr>
        <w:t xml:space="preserve">JOURNALS </w:t>
      </w:r>
      <w:r w:rsidR="005378F3" w:rsidRPr="00447D2C">
        <w:rPr>
          <w:rFonts w:cstheme="minorHAnsi"/>
          <w:b/>
          <w:bCs/>
          <w:sz w:val="22"/>
          <w:szCs w:val="22"/>
          <w:lang w:val="en"/>
        </w:rPr>
        <w:t xml:space="preserve"> </w:t>
      </w:r>
    </w:p>
    <w:p w14:paraId="3B3EF108" w14:textId="77777777" w:rsidR="000A5A1F" w:rsidRPr="00447D2C" w:rsidRDefault="000A5A1F" w:rsidP="00EC18E2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  <w:proofErr w:type="spellStart"/>
      <w:r w:rsidRPr="00447D2C">
        <w:rPr>
          <w:rFonts w:cstheme="minorHAnsi"/>
          <w:sz w:val="22"/>
          <w:szCs w:val="22"/>
        </w:rPr>
        <w:t>Cansel</w:t>
      </w:r>
      <w:proofErr w:type="spellEnd"/>
      <w:r w:rsidRPr="00447D2C">
        <w:rPr>
          <w:rFonts w:cstheme="minorHAnsi"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sz w:val="22"/>
          <w:szCs w:val="22"/>
        </w:rPr>
        <w:t>Oskay</w:t>
      </w:r>
      <w:proofErr w:type="spellEnd"/>
      <w:r w:rsidRPr="00447D2C">
        <w:rPr>
          <w:rFonts w:cstheme="minorHAnsi"/>
          <w:sz w:val="22"/>
          <w:szCs w:val="22"/>
        </w:rPr>
        <w:t xml:space="preserve">, ‘Youth Unemployment in the World and in Turkey After the Post Global Financial Crisis Period’ in </w:t>
      </w:r>
      <w:proofErr w:type="spellStart"/>
      <w:r w:rsidRPr="00447D2C">
        <w:rPr>
          <w:rFonts w:cstheme="minorHAnsi"/>
          <w:sz w:val="22"/>
          <w:szCs w:val="22"/>
        </w:rPr>
        <w:t>Samet</w:t>
      </w:r>
      <w:proofErr w:type="spellEnd"/>
      <w:r w:rsidRPr="00447D2C">
        <w:rPr>
          <w:rFonts w:cstheme="minorHAnsi"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sz w:val="22"/>
          <w:szCs w:val="22"/>
        </w:rPr>
        <w:t>Evci</w:t>
      </w:r>
      <w:proofErr w:type="spellEnd"/>
      <w:r w:rsidRPr="00447D2C">
        <w:rPr>
          <w:rFonts w:cstheme="minorHAnsi"/>
          <w:sz w:val="22"/>
          <w:szCs w:val="22"/>
        </w:rPr>
        <w:t xml:space="preserve"> and Anshuman Sharma (eds) </w:t>
      </w:r>
      <w:r w:rsidRPr="00447D2C">
        <w:rPr>
          <w:rFonts w:cstheme="minorHAnsi"/>
          <w:bCs/>
          <w:i/>
          <w:sz w:val="22"/>
          <w:szCs w:val="22"/>
        </w:rPr>
        <w:t>Studies at the Crossroads of Management &amp; Economics</w:t>
      </w:r>
      <w:r w:rsidRPr="00447D2C">
        <w:rPr>
          <w:rFonts w:cstheme="minorHAnsi"/>
          <w:bCs/>
          <w:sz w:val="22"/>
          <w:szCs w:val="22"/>
        </w:rPr>
        <w:t xml:space="preserve">, </w:t>
      </w:r>
      <w:proofErr w:type="spellStart"/>
      <w:r w:rsidRPr="00447D2C">
        <w:rPr>
          <w:rFonts w:cstheme="minorHAnsi"/>
          <w:bCs/>
          <w:sz w:val="22"/>
          <w:szCs w:val="22"/>
        </w:rPr>
        <w:t>Ijopec</w:t>
      </w:r>
      <w:proofErr w:type="spellEnd"/>
      <w:r w:rsidRPr="00447D2C">
        <w:rPr>
          <w:rFonts w:cstheme="minorHAnsi"/>
          <w:bCs/>
          <w:sz w:val="22"/>
          <w:szCs w:val="22"/>
        </w:rPr>
        <w:t xml:space="preserve"> Publication 2020, p. </w:t>
      </w:r>
      <w:r w:rsidRPr="00447D2C">
        <w:rPr>
          <w:rFonts w:cstheme="minorHAnsi"/>
          <w:sz w:val="22"/>
          <w:szCs w:val="22"/>
        </w:rPr>
        <w:t>97.</w:t>
      </w:r>
    </w:p>
    <w:p w14:paraId="78B1A56E" w14:textId="77777777" w:rsidR="000A5A1F" w:rsidRPr="00447D2C" w:rsidRDefault="000A5A1F" w:rsidP="00EC18E2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  <w:proofErr w:type="spellStart"/>
      <w:r w:rsidRPr="00447D2C">
        <w:rPr>
          <w:rFonts w:cstheme="minorHAnsi"/>
          <w:sz w:val="22"/>
          <w:szCs w:val="22"/>
        </w:rPr>
        <w:t>Chioma</w:t>
      </w:r>
      <w:proofErr w:type="spellEnd"/>
      <w:r w:rsidRPr="00447D2C">
        <w:rPr>
          <w:rFonts w:cstheme="minorHAnsi"/>
          <w:sz w:val="22"/>
          <w:szCs w:val="22"/>
        </w:rPr>
        <w:t xml:space="preserve"> Kanu </w:t>
      </w:r>
      <w:proofErr w:type="spellStart"/>
      <w:r w:rsidRPr="00447D2C">
        <w:rPr>
          <w:rFonts w:cstheme="minorHAnsi"/>
          <w:sz w:val="22"/>
          <w:szCs w:val="22"/>
        </w:rPr>
        <w:t>Agomo</w:t>
      </w:r>
      <w:proofErr w:type="spellEnd"/>
      <w:r w:rsidRPr="00447D2C">
        <w:rPr>
          <w:rFonts w:cstheme="minorHAnsi"/>
          <w:sz w:val="22"/>
          <w:szCs w:val="22"/>
        </w:rPr>
        <w:t xml:space="preserve">, </w:t>
      </w:r>
      <w:r w:rsidRPr="00447D2C">
        <w:rPr>
          <w:rFonts w:cstheme="minorHAnsi"/>
          <w:i/>
          <w:iCs/>
          <w:sz w:val="22"/>
          <w:szCs w:val="22"/>
        </w:rPr>
        <w:t>Nigerian Employment and Labour Relations: Law and Practice</w:t>
      </w:r>
      <w:r w:rsidRPr="00447D2C">
        <w:rPr>
          <w:rFonts w:cstheme="minorHAnsi"/>
          <w:sz w:val="22"/>
          <w:szCs w:val="22"/>
        </w:rPr>
        <w:t xml:space="preserve"> (Concept Publications Limited 2011) 159.</w:t>
      </w:r>
    </w:p>
    <w:p w14:paraId="235F608C" w14:textId="7777777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522471E2" w14:textId="2EAFA526" w:rsidR="000A5A1F" w:rsidRPr="00447D2C" w:rsidRDefault="000A5A1F" w:rsidP="00EC18E2">
      <w:pPr>
        <w:pStyle w:val="FootnoteText"/>
        <w:ind w:left="567" w:hanging="567"/>
        <w:jc w:val="both"/>
        <w:rPr>
          <w:rFonts w:cstheme="minorHAnsi"/>
          <w:i/>
          <w:iCs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EE </w:t>
      </w:r>
      <w:proofErr w:type="spellStart"/>
      <w:r w:rsidRPr="00447D2C">
        <w:rPr>
          <w:rFonts w:cstheme="minorHAnsi"/>
          <w:sz w:val="22"/>
          <w:szCs w:val="22"/>
        </w:rPr>
        <w:t>Idubor</w:t>
      </w:r>
      <w:proofErr w:type="spellEnd"/>
      <w:r w:rsidRPr="00447D2C">
        <w:rPr>
          <w:rFonts w:cstheme="minorHAnsi"/>
          <w:sz w:val="22"/>
          <w:szCs w:val="22"/>
        </w:rPr>
        <w:t xml:space="preserve"> and MD </w:t>
      </w:r>
      <w:proofErr w:type="spellStart"/>
      <w:r w:rsidRPr="00447D2C">
        <w:rPr>
          <w:rFonts w:cstheme="minorHAnsi"/>
          <w:sz w:val="22"/>
          <w:szCs w:val="22"/>
        </w:rPr>
        <w:t>Oisamoje</w:t>
      </w:r>
      <w:proofErr w:type="spellEnd"/>
      <w:r w:rsidRPr="00447D2C">
        <w:rPr>
          <w:rFonts w:cstheme="minorHAnsi"/>
          <w:sz w:val="22"/>
          <w:szCs w:val="22"/>
        </w:rPr>
        <w:t xml:space="preserve">, “An Exploration of Health and Safety Management Issues in Nigeria’s Effort to Industrialize” </w:t>
      </w:r>
      <w:r w:rsidRPr="00447D2C">
        <w:rPr>
          <w:rFonts w:cstheme="minorHAnsi"/>
          <w:i/>
          <w:iCs/>
          <w:sz w:val="22"/>
          <w:szCs w:val="22"/>
        </w:rPr>
        <w:t>European Scientific Journal</w:t>
      </w:r>
      <w:r w:rsidRPr="00447D2C">
        <w:rPr>
          <w:rFonts w:cstheme="minorHAnsi"/>
          <w:sz w:val="22"/>
          <w:szCs w:val="22"/>
        </w:rPr>
        <w:t xml:space="preserve"> 2013, p.12, 9.</w:t>
      </w:r>
    </w:p>
    <w:p w14:paraId="182A6D4B" w14:textId="7777777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5B31CDEE" w14:textId="657D6F79" w:rsidR="000A5A1F" w:rsidRPr="00447D2C" w:rsidRDefault="000A5A1F" w:rsidP="00EC18E2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Emmanuel OC </w:t>
      </w:r>
      <w:proofErr w:type="spellStart"/>
      <w:r w:rsidRPr="00447D2C">
        <w:rPr>
          <w:rFonts w:cstheme="minorHAnsi"/>
          <w:sz w:val="22"/>
          <w:szCs w:val="22"/>
        </w:rPr>
        <w:t>Obidimma</w:t>
      </w:r>
      <w:proofErr w:type="spellEnd"/>
      <w:r w:rsidRPr="00447D2C">
        <w:rPr>
          <w:rFonts w:cstheme="minorHAnsi"/>
          <w:sz w:val="22"/>
          <w:szCs w:val="22"/>
        </w:rPr>
        <w:t xml:space="preserve">, MI </w:t>
      </w:r>
      <w:proofErr w:type="spellStart"/>
      <w:r w:rsidRPr="00447D2C">
        <w:rPr>
          <w:rFonts w:cstheme="minorHAnsi"/>
          <w:sz w:val="22"/>
          <w:szCs w:val="22"/>
        </w:rPr>
        <w:t>Anushiem</w:t>
      </w:r>
      <w:proofErr w:type="spellEnd"/>
      <w:r w:rsidRPr="00447D2C">
        <w:rPr>
          <w:rFonts w:cstheme="minorHAnsi"/>
          <w:sz w:val="22"/>
          <w:szCs w:val="22"/>
        </w:rPr>
        <w:t xml:space="preserve"> and UMJ </w:t>
      </w:r>
      <w:proofErr w:type="spellStart"/>
      <w:r w:rsidRPr="00447D2C">
        <w:rPr>
          <w:rFonts w:cstheme="minorHAnsi"/>
          <w:sz w:val="22"/>
          <w:szCs w:val="22"/>
        </w:rPr>
        <w:t>Ekeneme</w:t>
      </w:r>
      <w:proofErr w:type="spellEnd"/>
      <w:r w:rsidRPr="00447D2C">
        <w:rPr>
          <w:rFonts w:cstheme="minorHAnsi"/>
          <w:sz w:val="22"/>
          <w:szCs w:val="22"/>
        </w:rPr>
        <w:t xml:space="preserve"> “Unfair Dismissal in Nigeria: Imperative for A Departure from The Common Law” </w:t>
      </w:r>
      <w:r w:rsidRPr="00447D2C">
        <w:rPr>
          <w:rFonts w:cstheme="minorHAnsi"/>
          <w:i/>
          <w:iCs/>
          <w:sz w:val="22"/>
          <w:szCs w:val="22"/>
        </w:rPr>
        <w:t xml:space="preserve">Nnamdi Azikiwe University Journal of International Law and Jurisprudence </w:t>
      </w:r>
      <w:r w:rsidRPr="00447D2C">
        <w:rPr>
          <w:rFonts w:cstheme="minorHAnsi"/>
          <w:sz w:val="22"/>
          <w:szCs w:val="22"/>
        </w:rPr>
        <w:t>(2016) (7) 134.</w:t>
      </w:r>
    </w:p>
    <w:p w14:paraId="49C91E6D" w14:textId="77777777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20B613B5" w14:textId="1D07A81D" w:rsidR="000A5A1F" w:rsidRPr="00447D2C" w:rsidRDefault="000A5A1F" w:rsidP="00EC18E2">
      <w:pPr>
        <w:pStyle w:val="FootnoteText"/>
        <w:ind w:left="567" w:hanging="567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 xml:space="preserve">International Labour Organisation, </w:t>
      </w:r>
      <w:r w:rsidRPr="00447D2C">
        <w:rPr>
          <w:rFonts w:cstheme="minorHAnsi"/>
          <w:bCs/>
          <w:i/>
          <w:iCs/>
          <w:sz w:val="22"/>
          <w:szCs w:val="22"/>
        </w:rPr>
        <w:t>World Employment and Social Outlook: Trends 2020</w:t>
      </w:r>
      <w:r w:rsidRPr="00447D2C">
        <w:rPr>
          <w:rFonts w:cstheme="minorHAnsi"/>
          <w:bCs/>
          <w:iCs/>
          <w:sz w:val="22"/>
          <w:szCs w:val="22"/>
        </w:rPr>
        <w:t xml:space="preserve"> (International Labour Organisation 2020) 34.</w:t>
      </w:r>
    </w:p>
    <w:p w14:paraId="0ADEA836" w14:textId="77777777" w:rsidR="000A5A1F" w:rsidRPr="00447D2C" w:rsidRDefault="000A5A1F" w:rsidP="00447D2C">
      <w:pPr>
        <w:pStyle w:val="FootnoteText"/>
        <w:jc w:val="both"/>
        <w:rPr>
          <w:rFonts w:cstheme="minorHAnsi"/>
          <w:color w:val="000000" w:themeColor="text1"/>
          <w:sz w:val="22"/>
          <w:szCs w:val="22"/>
        </w:rPr>
      </w:pPr>
    </w:p>
    <w:p w14:paraId="041EBDFB" w14:textId="329EA2F7" w:rsidR="000A5A1F" w:rsidRPr="00447D2C" w:rsidRDefault="000A5A1F" w:rsidP="00731B8F">
      <w:pPr>
        <w:pStyle w:val="FootnoteText"/>
        <w:ind w:left="567" w:hanging="567"/>
        <w:jc w:val="both"/>
        <w:rPr>
          <w:rFonts w:cstheme="minorHAnsi"/>
          <w:iCs/>
          <w:color w:val="000000" w:themeColor="text1"/>
          <w:sz w:val="22"/>
          <w:szCs w:val="22"/>
        </w:rPr>
      </w:pPr>
      <w:r w:rsidRPr="00447D2C">
        <w:rPr>
          <w:rFonts w:cstheme="minorHAnsi"/>
          <w:color w:val="000000" w:themeColor="text1"/>
          <w:sz w:val="22"/>
          <w:szCs w:val="22"/>
        </w:rPr>
        <w:t xml:space="preserve">Juan Pablo López Moreno, Luz Angela Duarte González and Juliana </w:t>
      </w:r>
      <w:proofErr w:type="spellStart"/>
      <w:r w:rsidRPr="00447D2C">
        <w:rPr>
          <w:rFonts w:cstheme="minorHAnsi"/>
          <w:color w:val="000000" w:themeColor="text1"/>
          <w:sz w:val="22"/>
          <w:szCs w:val="22"/>
        </w:rPr>
        <w:t>Morad</w:t>
      </w:r>
      <w:proofErr w:type="spellEnd"/>
      <w:r w:rsidRPr="00447D2C">
        <w:rPr>
          <w:rFonts w:cstheme="minorHAnsi"/>
          <w:color w:val="000000" w:themeColor="text1"/>
          <w:sz w:val="22"/>
          <w:szCs w:val="22"/>
        </w:rPr>
        <w:t xml:space="preserve"> ‘COVID-19 and Labour Law: Colombia’ in </w:t>
      </w:r>
      <w:proofErr w:type="spellStart"/>
      <w:r w:rsidRPr="00447D2C">
        <w:rPr>
          <w:rFonts w:cstheme="minorHAnsi"/>
          <w:iCs/>
          <w:color w:val="000000" w:themeColor="text1"/>
          <w:sz w:val="22"/>
          <w:szCs w:val="22"/>
        </w:rPr>
        <w:t>Berylter</w:t>
      </w:r>
      <w:proofErr w:type="spellEnd"/>
      <w:r w:rsidRPr="00447D2C">
        <w:rPr>
          <w:rFonts w:cstheme="minorHAnsi"/>
          <w:iCs/>
          <w:color w:val="000000" w:themeColor="text1"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iCs/>
          <w:color w:val="000000" w:themeColor="text1"/>
          <w:sz w:val="22"/>
          <w:szCs w:val="22"/>
        </w:rPr>
        <w:t>Haar</w:t>
      </w:r>
      <w:proofErr w:type="spellEnd"/>
      <w:r w:rsidRPr="00447D2C">
        <w:rPr>
          <w:rFonts w:cstheme="minorHAnsi"/>
          <w:iCs/>
          <w:color w:val="000000" w:themeColor="text1"/>
          <w:sz w:val="22"/>
          <w:szCs w:val="22"/>
        </w:rPr>
        <w:t xml:space="preserve">, Emanuele </w:t>
      </w:r>
      <w:proofErr w:type="spellStart"/>
      <w:r w:rsidRPr="00447D2C">
        <w:rPr>
          <w:rFonts w:cstheme="minorHAnsi"/>
          <w:iCs/>
          <w:color w:val="000000" w:themeColor="text1"/>
          <w:sz w:val="22"/>
          <w:szCs w:val="22"/>
        </w:rPr>
        <w:t>Menegatti</w:t>
      </w:r>
      <w:proofErr w:type="spellEnd"/>
      <w:r w:rsidRPr="00447D2C">
        <w:rPr>
          <w:rFonts w:cstheme="minorHAnsi"/>
          <w:iCs/>
          <w:color w:val="000000" w:themeColor="text1"/>
          <w:sz w:val="22"/>
          <w:szCs w:val="22"/>
        </w:rPr>
        <w:t xml:space="preserve">, </w:t>
      </w:r>
      <w:proofErr w:type="spellStart"/>
      <w:r w:rsidRPr="00447D2C">
        <w:rPr>
          <w:rFonts w:cstheme="minorHAnsi"/>
          <w:iCs/>
          <w:color w:val="000000" w:themeColor="text1"/>
          <w:sz w:val="22"/>
          <w:szCs w:val="22"/>
        </w:rPr>
        <w:t>Iacopo</w:t>
      </w:r>
      <w:proofErr w:type="spellEnd"/>
      <w:r w:rsidRPr="00447D2C">
        <w:rPr>
          <w:rFonts w:cstheme="minorHAnsi"/>
          <w:iCs/>
          <w:color w:val="000000" w:themeColor="text1"/>
          <w:sz w:val="22"/>
          <w:szCs w:val="22"/>
        </w:rPr>
        <w:t xml:space="preserve"> </w:t>
      </w:r>
      <w:proofErr w:type="spellStart"/>
      <w:r w:rsidRPr="00447D2C">
        <w:rPr>
          <w:rFonts w:cstheme="minorHAnsi"/>
          <w:iCs/>
          <w:color w:val="000000" w:themeColor="text1"/>
          <w:sz w:val="22"/>
          <w:szCs w:val="22"/>
        </w:rPr>
        <w:t>Senatori</w:t>
      </w:r>
      <w:proofErr w:type="spellEnd"/>
      <w:r w:rsidRPr="00447D2C">
        <w:rPr>
          <w:rFonts w:cstheme="minorHAnsi"/>
          <w:iCs/>
          <w:color w:val="000000" w:themeColor="text1"/>
          <w:sz w:val="22"/>
          <w:szCs w:val="22"/>
        </w:rPr>
        <w:t xml:space="preserve"> and Elena </w:t>
      </w:r>
      <w:proofErr w:type="spellStart"/>
      <w:r w:rsidRPr="00447D2C">
        <w:rPr>
          <w:rFonts w:cstheme="minorHAnsi"/>
          <w:iCs/>
          <w:color w:val="000000" w:themeColor="text1"/>
          <w:sz w:val="22"/>
          <w:szCs w:val="22"/>
        </w:rPr>
        <w:t>Sychenko</w:t>
      </w:r>
      <w:proofErr w:type="spellEnd"/>
      <w:r w:rsidRPr="00447D2C">
        <w:rPr>
          <w:rFonts w:cstheme="minorHAnsi"/>
          <w:iCs/>
          <w:color w:val="000000" w:themeColor="text1"/>
          <w:sz w:val="22"/>
          <w:szCs w:val="22"/>
        </w:rPr>
        <w:t xml:space="preserve"> (eds.), </w:t>
      </w:r>
      <w:r w:rsidRPr="00447D2C">
        <w:rPr>
          <w:rFonts w:cstheme="minorHAnsi"/>
          <w:i/>
          <w:iCs/>
          <w:color w:val="000000" w:themeColor="text1"/>
          <w:sz w:val="22"/>
          <w:szCs w:val="22"/>
        </w:rPr>
        <w:t>Covid-19 and Labour Law: A Global Review</w:t>
      </w:r>
      <w:r w:rsidRPr="00447D2C">
        <w:rPr>
          <w:rFonts w:cstheme="minorHAnsi"/>
          <w:iCs/>
          <w:color w:val="000000" w:themeColor="text1"/>
          <w:sz w:val="22"/>
          <w:szCs w:val="22"/>
        </w:rPr>
        <w:t xml:space="preserve"> (</w:t>
      </w:r>
      <w:proofErr w:type="gramStart"/>
      <w:r w:rsidRPr="00447D2C">
        <w:rPr>
          <w:rFonts w:cstheme="minorHAnsi"/>
          <w:iCs/>
          <w:color w:val="000000" w:themeColor="text1"/>
          <w:sz w:val="22"/>
          <w:szCs w:val="22"/>
        </w:rPr>
        <w:t>2020)(</w:t>
      </w:r>
      <w:proofErr w:type="gramEnd"/>
      <w:r w:rsidRPr="00447D2C">
        <w:rPr>
          <w:rFonts w:cstheme="minorHAnsi"/>
          <w:iCs/>
          <w:color w:val="000000" w:themeColor="text1"/>
          <w:sz w:val="22"/>
          <w:szCs w:val="22"/>
        </w:rPr>
        <w:t>13(1S) 1-2.</w:t>
      </w:r>
    </w:p>
    <w:p w14:paraId="2A6AF4A4" w14:textId="77777777" w:rsidR="000A5A1F" w:rsidRPr="00447D2C" w:rsidRDefault="000A5A1F" w:rsidP="00731B8F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National Bureau of Statistics, </w:t>
      </w:r>
      <w:r w:rsidRPr="00447D2C">
        <w:rPr>
          <w:rFonts w:cstheme="minorHAnsi"/>
          <w:i/>
          <w:sz w:val="22"/>
          <w:szCs w:val="22"/>
        </w:rPr>
        <w:t>Labour Force Statistics - Volume I: Unemployment and Underemployment Report (Q4 2017-Q3 2018</w:t>
      </w:r>
      <w:r w:rsidRPr="00447D2C">
        <w:rPr>
          <w:rFonts w:cstheme="minorHAnsi"/>
          <w:sz w:val="22"/>
          <w:szCs w:val="22"/>
        </w:rPr>
        <w:t>) (National Bureau of Statistics December 2018) p.4, 8 and 9</w:t>
      </w:r>
    </w:p>
    <w:p w14:paraId="643802BB" w14:textId="77777777" w:rsidR="000A5A1F" w:rsidRPr="00447D2C" w:rsidRDefault="000A5A1F" w:rsidP="00731B8F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bCs/>
          <w:color w:val="000000" w:themeColor="text1"/>
          <w:sz w:val="22"/>
          <w:szCs w:val="22"/>
        </w:rPr>
        <w:t xml:space="preserve">National Bureau of Statistics, </w:t>
      </w:r>
      <w:r w:rsidRPr="00447D2C">
        <w:rPr>
          <w:rFonts w:cstheme="minorHAnsi"/>
          <w:bCs/>
          <w:i/>
          <w:color w:val="000000" w:themeColor="text1"/>
          <w:sz w:val="22"/>
          <w:szCs w:val="22"/>
        </w:rPr>
        <w:t>Labour Force Statistics: Unemployment and Underemployment Report</w:t>
      </w:r>
      <w:r w:rsidRPr="00447D2C">
        <w:rPr>
          <w:rFonts w:cstheme="minorHAnsi"/>
          <w:bCs/>
          <w:color w:val="000000" w:themeColor="text1"/>
          <w:sz w:val="22"/>
          <w:szCs w:val="22"/>
        </w:rPr>
        <w:t xml:space="preserve"> (Q4 2020) (March 2021) 3, 18</w:t>
      </w:r>
    </w:p>
    <w:p w14:paraId="3D2A8552" w14:textId="77777777" w:rsidR="00447D2C" w:rsidRDefault="000A5A1F" w:rsidP="00731B8F">
      <w:pPr>
        <w:ind w:left="567" w:right="-46" w:hanging="56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47D2C">
        <w:rPr>
          <w:rFonts w:asciiTheme="minorHAnsi" w:hAnsiTheme="minorHAnsi" w:cstheme="minorHAnsi"/>
          <w:bCs/>
          <w:iCs/>
          <w:sz w:val="22"/>
          <w:szCs w:val="22"/>
        </w:rPr>
        <w:t xml:space="preserve">Philip </w:t>
      </w:r>
      <w:proofErr w:type="spellStart"/>
      <w:r w:rsidRPr="00447D2C">
        <w:rPr>
          <w:rFonts w:asciiTheme="minorHAnsi" w:hAnsiTheme="minorHAnsi" w:cstheme="minorHAnsi"/>
          <w:bCs/>
          <w:iCs/>
          <w:sz w:val="22"/>
          <w:szCs w:val="22"/>
        </w:rPr>
        <w:t>Osarobo</w:t>
      </w:r>
      <w:proofErr w:type="spellEnd"/>
      <w:r w:rsidRPr="00447D2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Pr="00447D2C">
        <w:rPr>
          <w:rFonts w:asciiTheme="minorHAnsi" w:hAnsiTheme="minorHAnsi" w:cstheme="minorHAnsi"/>
          <w:bCs/>
          <w:iCs/>
          <w:sz w:val="22"/>
          <w:szCs w:val="22"/>
        </w:rPr>
        <w:t>Odiase</w:t>
      </w:r>
      <w:proofErr w:type="spellEnd"/>
      <w:r w:rsidRPr="00447D2C">
        <w:rPr>
          <w:rFonts w:asciiTheme="minorHAnsi" w:hAnsiTheme="minorHAnsi" w:cstheme="minorHAnsi"/>
          <w:bCs/>
          <w:iCs/>
          <w:sz w:val="22"/>
          <w:szCs w:val="22"/>
        </w:rPr>
        <w:t xml:space="preserve">, “COVID-19 and Labour Law: Nigeria”, </w:t>
      </w:r>
      <w:r w:rsidRPr="00447D2C">
        <w:rPr>
          <w:rFonts w:asciiTheme="minorHAnsi" w:hAnsiTheme="minorHAnsi" w:cstheme="minorHAnsi"/>
          <w:bCs/>
          <w:i/>
          <w:iCs/>
          <w:sz w:val="22"/>
          <w:szCs w:val="22"/>
        </w:rPr>
        <w:t>Italian Labour Law e-Journal</w:t>
      </w:r>
      <w:r w:rsidRPr="00447D2C">
        <w:rPr>
          <w:rFonts w:asciiTheme="minorHAnsi" w:hAnsiTheme="minorHAnsi" w:cstheme="minorHAnsi"/>
          <w:bCs/>
          <w:iCs/>
          <w:sz w:val="22"/>
          <w:szCs w:val="22"/>
        </w:rPr>
        <w:t>, 2020 p. 13 (1) 2.</w:t>
      </w:r>
    </w:p>
    <w:p w14:paraId="12A22652" w14:textId="4A5BC1E7" w:rsidR="000A5A1F" w:rsidRPr="00447D2C" w:rsidRDefault="000A5A1F" w:rsidP="00731B8F">
      <w:pPr>
        <w:ind w:left="567" w:right="-46" w:hanging="56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47D2C">
        <w:rPr>
          <w:rFonts w:asciiTheme="minorHAnsi" w:hAnsiTheme="minorHAnsi" w:cstheme="minorHAnsi"/>
          <w:sz w:val="22"/>
          <w:szCs w:val="22"/>
        </w:rPr>
        <w:t xml:space="preserve">Richard Baldwin and </w:t>
      </w:r>
      <w:proofErr w:type="gramStart"/>
      <w:r w:rsidRPr="00447D2C">
        <w:rPr>
          <w:rFonts w:asciiTheme="minorHAnsi" w:hAnsiTheme="minorHAnsi" w:cstheme="minorHAnsi"/>
          <w:sz w:val="22"/>
          <w:szCs w:val="22"/>
        </w:rPr>
        <w:t xml:space="preserve">Beatrice </w:t>
      </w:r>
      <w:proofErr w:type="spellStart"/>
      <w:r w:rsidRPr="00447D2C">
        <w:rPr>
          <w:rFonts w:asciiTheme="minorHAnsi" w:hAnsiTheme="minorHAnsi" w:cstheme="minorHAnsi"/>
          <w:sz w:val="22"/>
          <w:szCs w:val="22"/>
        </w:rPr>
        <w:t>Weder</w:t>
      </w:r>
      <w:proofErr w:type="spellEnd"/>
      <w:proofErr w:type="gramEnd"/>
      <w:r w:rsidRPr="00447D2C">
        <w:rPr>
          <w:rFonts w:asciiTheme="minorHAnsi" w:hAnsiTheme="minorHAnsi" w:cstheme="minorHAnsi"/>
          <w:sz w:val="22"/>
          <w:szCs w:val="22"/>
        </w:rPr>
        <w:t xml:space="preserve"> di Mauro (eds.),</w:t>
      </w:r>
      <w:r w:rsidRPr="00447D2C">
        <w:rPr>
          <w:rFonts w:asciiTheme="minorHAnsi" w:hAnsiTheme="minorHAnsi" w:cstheme="minorHAnsi"/>
          <w:i/>
          <w:iCs/>
          <w:sz w:val="22"/>
          <w:szCs w:val="22"/>
        </w:rPr>
        <w:t xml:space="preserve"> Economics in the Time of COVID-19</w:t>
      </w:r>
      <w:r w:rsidRPr="00447D2C">
        <w:rPr>
          <w:rFonts w:asciiTheme="minorHAnsi" w:hAnsiTheme="minorHAnsi" w:cstheme="minorHAnsi"/>
          <w:sz w:val="22"/>
          <w:szCs w:val="22"/>
        </w:rPr>
        <w:t>, Centre for Economic Policy Research 2020, p.14.</w:t>
      </w:r>
    </w:p>
    <w:p w14:paraId="02A3ADDB" w14:textId="5C5162D4" w:rsidR="00FA2CDA" w:rsidRPr="00447D2C" w:rsidRDefault="00FA2CDA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394948AB" w14:textId="4B7596F2" w:rsidR="00FA2CDA" w:rsidRPr="00447D2C" w:rsidRDefault="00FA2CDA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792C9F0C" w14:textId="3FDE8718" w:rsidR="00FA2CDA" w:rsidRPr="00447D2C" w:rsidRDefault="00FA2CDA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4DAE5AE9" w14:textId="77777777" w:rsidR="000A5A1F" w:rsidRPr="00447D2C" w:rsidRDefault="000A5A1F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1444D811" w14:textId="77777777" w:rsidR="00FA2CDA" w:rsidRPr="00447D2C" w:rsidRDefault="00FA2CDA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11271543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5011E512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2EF754C8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76B95E37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4C5217DC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77ABAD5D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3924D8AA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5EE4BF7D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0CB7397B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5DA9A2B1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79135E96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3993A07B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2B95B598" w14:textId="0780E396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76A7B5D3" w14:textId="76FE17E1" w:rsidR="00731B8F" w:rsidRDefault="00731B8F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0CE6FD4A" w14:textId="148FBEC0" w:rsidR="00DF1F9D" w:rsidRDefault="00DF1F9D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1B3F3B38" w14:textId="77777777" w:rsidR="00DF1F9D" w:rsidRDefault="00DF1F9D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0B1E2A9B" w14:textId="77777777" w:rsidR="00447D2C" w:rsidRDefault="00447D2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p w14:paraId="0220AEBC" w14:textId="1F554537" w:rsidR="00FA2CDA" w:rsidRPr="00447D2C" w:rsidRDefault="002F39EC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  <w:r w:rsidRPr="00447D2C">
        <w:rPr>
          <w:rFonts w:cstheme="minorHAnsi"/>
          <w:b/>
          <w:bCs/>
          <w:sz w:val="22"/>
          <w:szCs w:val="22"/>
        </w:rPr>
        <w:t>OTHER DOCUMENTS</w:t>
      </w:r>
    </w:p>
    <w:p w14:paraId="3ADC1001" w14:textId="77777777" w:rsidR="00FA2CDA" w:rsidRPr="00447D2C" w:rsidRDefault="00FA2CDA" w:rsidP="00636750">
      <w:pPr>
        <w:pStyle w:val="FootnoteText"/>
        <w:ind w:left="567" w:hanging="567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WHO Coronavirus Disease (COVID-19) Dashboard &lt;https://covid19.who.int/&gt; downloaded on 7</w:t>
      </w:r>
      <w:r w:rsidRPr="00447D2C">
        <w:rPr>
          <w:rFonts w:cstheme="minorHAnsi"/>
          <w:bCs/>
          <w:iCs/>
          <w:sz w:val="22"/>
          <w:szCs w:val="22"/>
          <w:vertAlign w:val="superscript"/>
        </w:rPr>
        <w:t>th</w:t>
      </w:r>
      <w:r w:rsidRPr="00447D2C">
        <w:rPr>
          <w:rFonts w:cstheme="minorHAnsi"/>
          <w:bCs/>
          <w:iCs/>
          <w:sz w:val="22"/>
          <w:szCs w:val="22"/>
        </w:rPr>
        <w:t xml:space="preserve"> September, 2020</w:t>
      </w:r>
    </w:p>
    <w:p w14:paraId="6AC30D5D" w14:textId="77777777" w:rsidR="00FF1F00" w:rsidRDefault="00FF1F00" w:rsidP="00636750">
      <w:pPr>
        <w:pStyle w:val="FootnoteText"/>
        <w:ind w:left="567" w:hanging="567"/>
        <w:jc w:val="both"/>
        <w:rPr>
          <w:rFonts w:cstheme="minorHAnsi"/>
          <w:bCs/>
          <w:sz w:val="22"/>
          <w:szCs w:val="22"/>
        </w:rPr>
      </w:pPr>
    </w:p>
    <w:p w14:paraId="275EC890" w14:textId="75AC36E6" w:rsidR="00FA2CDA" w:rsidRPr="00447D2C" w:rsidRDefault="00FA2CDA" w:rsidP="00636750">
      <w:pPr>
        <w:pStyle w:val="FootnoteText"/>
        <w:ind w:left="567" w:hanging="567"/>
        <w:jc w:val="both"/>
        <w:rPr>
          <w:rFonts w:cstheme="minorHAnsi"/>
          <w:bCs/>
          <w:sz w:val="22"/>
          <w:szCs w:val="22"/>
        </w:rPr>
      </w:pPr>
      <w:r w:rsidRPr="00447D2C">
        <w:rPr>
          <w:rFonts w:cstheme="minorHAnsi"/>
          <w:bCs/>
          <w:sz w:val="22"/>
          <w:szCs w:val="22"/>
        </w:rPr>
        <w:t>Oxford COVID-19 Vaccine to Begin Phase II/III Human Trials &lt;http://www.ox.ac.uk/news/2020-05-22-oxford-covid-19-vaccine-begin-phase-iiiii-human-trials&gt; downloaded on 25</w:t>
      </w:r>
      <w:r w:rsidRPr="00447D2C">
        <w:rPr>
          <w:rFonts w:cstheme="minorHAnsi"/>
          <w:bCs/>
          <w:sz w:val="22"/>
          <w:szCs w:val="22"/>
          <w:vertAlign w:val="superscript"/>
        </w:rPr>
        <w:t>th</w:t>
      </w:r>
      <w:r w:rsidRPr="00447D2C">
        <w:rPr>
          <w:rFonts w:cstheme="minorHAnsi"/>
          <w:bCs/>
          <w:sz w:val="22"/>
          <w:szCs w:val="22"/>
        </w:rPr>
        <w:t xml:space="preserve"> of May, 2020</w:t>
      </w:r>
    </w:p>
    <w:p w14:paraId="7A4110C1" w14:textId="77777777" w:rsidR="00FA2CDA" w:rsidRPr="00447D2C" w:rsidRDefault="00FA2CDA" w:rsidP="00636750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</w:p>
    <w:p w14:paraId="2D2CB127" w14:textId="77777777" w:rsidR="00FA2CDA" w:rsidRPr="00447D2C" w:rsidRDefault="00FA2CDA" w:rsidP="00C43644">
      <w:pPr>
        <w:pStyle w:val="FootnoteText"/>
        <w:ind w:left="567" w:hanging="567"/>
        <w:rPr>
          <w:rFonts w:cstheme="minorHAnsi"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 xml:space="preserve">International Labour Organisation, </w:t>
      </w:r>
      <w:r w:rsidRPr="00447D2C">
        <w:rPr>
          <w:rFonts w:cstheme="minorHAnsi"/>
          <w:sz w:val="22"/>
          <w:szCs w:val="22"/>
        </w:rPr>
        <w:t xml:space="preserve">ILO: As Job Losses Escalate, Nearly Half of Global Workforce at Risk of Losing Livelihoods &lt;https://www.ilo.org/global/about-the </w:t>
      </w:r>
      <w:proofErr w:type="spellStart"/>
      <w:r w:rsidRPr="00447D2C">
        <w:rPr>
          <w:rFonts w:cstheme="minorHAnsi"/>
          <w:sz w:val="22"/>
          <w:szCs w:val="22"/>
        </w:rPr>
        <w:t>ilo</w:t>
      </w:r>
      <w:proofErr w:type="spellEnd"/>
      <w:r w:rsidRPr="00447D2C">
        <w:rPr>
          <w:rFonts w:cstheme="minorHAnsi"/>
          <w:sz w:val="22"/>
          <w:szCs w:val="22"/>
        </w:rPr>
        <w:t>/newsroom/news/WCMS_743036/lang--</w:t>
      </w:r>
      <w:proofErr w:type="spellStart"/>
      <w:r w:rsidRPr="00447D2C">
        <w:rPr>
          <w:rFonts w:cstheme="minorHAnsi"/>
          <w:sz w:val="22"/>
          <w:szCs w:val="22"/>
        </w:rPr>
        <w:t>en</w:t>
      </w:r>
      <w:proofErr w:type="spellEnd"/>
      <w:r w:rsidRPr="00447D2C">
        <w:rPr>
          <w:rFonts w:cstheme="minorHAnsi"/>
          <w:sz w:val="22"/>
          <w:szCs w:val="22"/>
        </w:rPr>
        <w:t>/index.htm&gt; downloaded on 13</w:t>
      </w:r>
      <w:r w:rsidRPr="00447D2C">
        <w:rPr>
          <w:rFonts w:cstheme="minorHAnsi"/>
          <w:sz w:val="22"/>
          <w:szCs w:val="22"/>
          <w:vertAlign w:val="superscript"/>
        </w:rPr>
        <w:t>th</w:t>
      </w:r>
      <w:r w:rsidRPr="00447D2C">
        <w:rPr>
          <w:rFonts w:cstheme="minorHAnsi"/>
          <w:sz w:val="22"/>
          <w:szCs w:val="22"/>
        </w:rPr>
        <w:t xml:space="preserve"> May, 2020</w:t>
      </w:r>
    </w:p>
    <w:p w14:paraId="7703684F" w14:textId="77777777" w:rsidR="00FF1F00" w:rsidRDefault="00FF1F00" w:rsidP="00636750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</w:p>
    <w:p w14:paraId="2694F485" w14:textId="57E493B5" w:rsidR="00FA2CDA" w:rsidRPr="00447D2C" w:rsidRDefault="00FA2CDA" w:rsidP="00C43644">
      <w:pPr>
        <w:pStyle w:val="FootnoteText"/>
        <w:ind w:left="567" w:hanging="567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International Monetary Fund, I</w:t>
      </w:r>
      <w:r w:rsidRPr="00447D2C">
        <w:rPr>
          <w:rFonts w:cstheme="minorHAnsi"/>
          <w:iCs/>
          <w:sz w:val="22"/>
          <w:szCs w:val="22"/>
        </w:rPr>
        <w:t>MF Country Focus:</w:t>
      </w:r>
      <w:r w:rsidRPr="00447D2C">
        <w:rPr>
          <w:rFonts w:cstheme="minorHAnsi"/>
          <w:sz w:val="22"/>
          <w:szCs w:val="22"/>
        </w:rPr>
        <w:t xml:space="preserve"> Nigeria’s IMF Financial Assistance to Support Health Care Sector, Protect Jobs and Businesses&lt;https://www.imf.org/en/News/Articles/2020/04/29/na042920-nigerias-imf-financial-assistance-to-support-health-care-sector-protect&gt; downloaded on 13</w:t>
      </w:r>
      <w:r w:rsidRPr="00447D2C">
        <w:rPr>
          <w:rFonts w:cstheme="minorHAnsi"/>
          <w:sz w:val="22"/>
          <w:szCs w:val="22"/>
          <w:vertAlign w:val="superscript"/>
        </w:rPr>
        <w:t>th</w:t>
      </w:r>
      <w:r w:rsidRPr="00447D2C">
        <w:rPr>
          <w:rFonts w:cstheme="minorHAnsi"/>
          <w:sz w:val="22"/>
          <w:szCs w:val="22"/>
        </w:rPr>
        <w:t xml:space="preserve"> of May, 2020</w:t>
      </w:r>
    </w:p>
    <w:p w14:paraId="2D883708" w14:textId="77777777" w:rsidR="00FF1F00" w:rsidRDefault="00FF1F00" w:rsidP="00636750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</w:p>
    <w:p w14:paraId="3B755381" w14:textId="58C58B92" w:rsidR="00FA2CDA" w:rsidRPr="00447D2C" w:rsidRDefault="00FA2CDA" w:rsidP="00636750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International Labour Organisation, </w:t>
      </w:r>
      <w:r w:rsidRPr="00447D2C">
        <w:rPr>
          <w:rFonts w:cstheme="minorHAnsi"/>
          <w:i/>
          <w:iCs/>
          <w:sz w:val="22"/>
          <w:szCs w:val="22"/>
        </w:rPr>
        <w:t>Labour Force</w:t>
      </w:r>
      <w:r w:rsidRPr="00447D2C">
        <w:rPr>
          <w:rFonts w:cstheme="minorHAnsi"/>
          <w:sz w:val="22"/>
          <w:szCs w:val="22"/>
        </w:rPr>
        <w:t xml:space="preserve"> &lt;https://www.ilo.org/global/statistics-and-databases/statistics-overview-and-topics/WCMS_470304/lang--en/index.htm&gt; downloaded on 22</w:t>
      </w:r>
      <w:r w:rsidRPr="00447D2C">
        <w:rPr>
          <w:rFonts w:cstheme="minorHAnsi"/>
          <w:sz w:val="22"/>
          <w:szCs w:val="22"/>
          <w:vertAlign w:val="superscript"/>
        </w:rPr>
        <w:t xml:space="preserve">nd </w:t>
      </w:r>
      <w:r w:rsidRPr="00447D2C">
        <w:rPr>
          <w:rFonts w:cstheme="minorHAnsi"/>
          <w:sz w:val="22"/>
          <w:szCs w:val="22"/>
        </w:rPr>
        <w:t>of May, 2020</w:t>
      </w:r>
    </w:p>
    <w:p w14:paraId="5DF063B0" w14:textId="77777777" w:rsidR="00FF1F00" w:rsidRDefault="00FF1F00" w:rsidP="00636750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</w:p>
    <w:p w14:paraId="1F1156C1" w14:textId="5DB40353" w:rsidR="00FA2CDA" w:rsidRPr="00447D2C" w:rsidRDefault="00FA2CDA" w:rsidP="00636750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ILO Standards and COVID-19 (Coronavirus) &lt;https://www.ilo.org/wcmsp5/groups/public/---</w:t>
      </w:r>
      <w:proofErr w:type="spellStart"/>
      <w:r w:rsidRPr="00447D2C">
        <w:rPr>
          <w:rFonts w:cstheme="minorHAnsi"/>
          <w:sz w:val="22"/>
          <w:szCs w:val="22"/>
        </w:rPr>
        <w:t>ed_norm</w:t>
      </w:r>
      <w:proofErr w:type="spellEnd"/>
      <w:r w:rsidRPr="00447D2C">
        <w:rPr>
          <w:rFonts w:cstheme="minorHAnsi"/>
          <w:sz w:val="22"/>
          <w:szCs w:val="22"/>
        </w:rPr>
        <w:t>/-</w:t>
      </w:r>
      <w:proofErr w:type="spellStart"/>
      <w:r w:rsidRPr="00447D2C">
        <w:rPr>
          <w:rFonts w:cstheme="minorHAnsi"/>
          <w:sz w:val="22"/>
          <w:szCs w:val="22"/>
        </w:rPr>
        <w:t>normes</w:t>
      </w:r>
      <w:proofErr w:type="spellEnd"/>
      <w:r w:rsidRPr="00447D2C">
        <w:rPr>
          <w:rFonts w:cstheme="minorHAnsi"/>
          <w:sz w:val="22"/>
          <w:szCs w:val="22"/>
        </w:rPr>
        <w:t>/documents/publication/wcms_739937.pdf&gt; downloaded on 13</w:t>
      </w:r>
      <w:r w:rsidRPr="00447D2C">
        <w:rPr>
          <w:rFonts w:cstheme="minorHAnsi"/>
          <w:sz w:val="22"/>
          <w:szCs w:val="22"/>
          <w:vertAlign w:val="superscript"/>
        </w:rPr>
        <w:t xml:space="preserve">th </w:t>
      </w:r>
      <w:r w:rsidRPr="00447D2C">
        <w:rPr>
          <w:rFonts w:cstheme="minorHAnsi"/>
          <w:sz w:val="22"/>
          <w:szCs w:val="22"/>
        </w:rPr>
        <w:t>of May, 2020</w:t>
      </w:r>
    </w:p>
    <w:p w14:paraId="64951E5E" w14:textId="77777777" w:rsidR="00FF1F00" w:rsidRDefault="00FF1F00" w:rsidP="00636750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</w:p>
    <w:p w14:paraId="7739EA40" w14:textId="6A2D3D4A" w:rsidR="00FA2CDA" w:rsidRPr="00447D2C" w:rsidRDefault="00FA2CDA" w:rsidP="00636750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International Labour Organisation, International Labour Standards on Employment Security&lt;http://www.ilo.ch/global/standards/subjects-covered-by-international-labour-standards</w:t>
      </w:r>
    </w:p>
    <w:p w14:paraId="41FBE69C" w14:textId="77777777" w:rsidR="00FF1F00" w:rsidRDefault="00FF1F00" w:rsidP="00636750">
      <w:pPr>
        <w:pStyle w:val="FootnoteText"/>
        <w:ind w:left="567" w:hanging="567"/>
        <w:jc w:val="both"/>
        <w:rPr>
          <w:rFonts w:cstheme="minorHAnsi"/>
          <w:bCs/>
          <w:iCs/>
          <w:sz w:val="22"/>
          <w:szCs w:val="22"/>
        </w:rPr>
      </w:pPr>
    </w:p>
    <w:p w14:paraId="03DC85AD" w14:textId="7525B0C8" w:rsidR="00FA2CDA" w:rsidRPr="00447D2C" w:rsidRDefault="00FA2CDA" w:rsidP="00636750">
      <w:pPr>
        <w:pStyle w:val="FootnoteText"/>
        <w:ind w:left="567" w:hanging="567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Will Oliver, Healthcare Workers and Coronavirus: Behind the Stiff Upper Lip We Are Highly Vulnerable&lt;https://theconversation.com/healthcare-workers-and-coronavirus-behind-the-stiff-upper-lip-we-are-highly-vulnerable-133864&gt; downloaded on 13</w:t>
      </w:r>
      <w:r w:rsidRPr="00447D2C">
        <w:rPr>
          <w:rFonts w:cstheme="minorHAnsi"/>
          <w:bCs/>
          <w:iCs/>
          <w:sz w:val="22"/>
          <w:szCs w:val="22"/>
          <w:vertAlign w:val="superscript"/>
        </w:rPr>
        <w:t>th</w:t>
      </w:r>
      <w:r w:rsidRPr="00447D2C">
        <w:rPr>
          <w:rFonts w:cstheme="minorHAnsi"/>
          <w:bCs/>
          <w:iCs/>
          <w:sz w:val="22"/>
          <w:szCs w:val="22"/>
        </w:rPr>
        <w:t xml:space="preserve"> of May, 2020</w:t>
      </w:r>
    </w:p>
    <w:p w14:paraId="65F7F959" w14:textId="77777777" w:rsidR="00FF1F00" w:rsidRDefault="00FF1F00" w:rsidP="00636750">
      <w:pPr>
        <w:pStyle w:val="FootnoteText"/>
        <w:ind w:left="567" w:hanging="567"/>
        <w:jc w:val="both"/>
        <w:rPr>
          <w:rFonts w:cstheme="minorHAnsi"/>
          <w:bCs/>
          <w:iCs/>
          <w:sz w:val="22"/>
          <w:szCs w:val="22"/>
        </w:rPr>
      </w:pPr>
    </w:p>
    <w:p w14:paraId="3E00EB08" w14:textId="47BAD7DC" w:rsidR="00FA2CDA" w:rsidRPr="00447D2C" w:rsidRDefault="00FA2CDA" w:rsidP="00636750">
      <w:pPr>
        <w:pStyle w:val="FootnoteText"/>
        <w:ind w:left="567" w:hanging="567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United Nations, Nearly Half of Global Workforce at Risk as Job Losses Increase Due to COVID-19: UN Labour Agency &lt;https://news.un.org/en/story/2020/04/1062792&gt; downloaded on 13</w:t>
      </w:r>
      <w:r w:rsidRPr="00447D2C">
        <w:rPr>
          <w:rFonts w:cstheme="minorHAnsi"/>
          <w:bCs/>
          <w:iCs/>
          <w:sz w:val="22"/>
          <w:szCs w:val="22"/>
          <w:vertAlign w:val="superscript"/>
        </w:rPr>
        <w:t>th</w:t>
      </w:r>
      <w:r w:rsidRPr="00447D2C">
        <w:rPr>
          <w:rFonts w:cstheme="minorHAnsi"/>
          <w:bCs/>
          <w:iCs/>
          <w:sz w:val="22"/>
          <w:szCs w:val="22"/>
        </w:rPr>
        <w:t xml:space="preserve"> of May, 2020</w:t>
      </w:r>
    </w:p>
    <w:p w14:paraId="3B6F44C2" w14:textId="77777777" w:rsidR="00FF1F00" w:rsidRDefault="00FF1F00" w:rsidP="00636750">
      <w:pPr>
        <w:pStyle w:val="FootnoteText"/>
        <w:ind w:left="567" w:hanging="567"/>
        <w:jc w:val="both"/>
        <w:rPr>
          <w:rFonts w:cstheme="minorHAnsi"/>
          <w:bCs/>
          <w:iCs/>
          <w:sz w:val="22"/>
          <w:szCs w:val="22"/>
        </w:rPr>
      </w:pPr>
    </w:p>
    <w:p w14:paraId="444559B0" w14:textId="77CAD58C" w:rsidR="00FA2CDA" w:rsidRPr="00447D2C" w:rsidRDefault="00FA2CDA" w:rsidP="00636750">
      <w:pPr>
        <w:pStyle w:val="FootnoteText"/>
        <w:ind w:left="567" w:hanging="567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 xml:space="preserve">Malcolm R Sim, The COVID-19 </w:t>
      </w:r>
      <w:r w:rsidRPr="00447D2C">
        <w:rPr>
          <w:rFonts w:cstheme="minorHAnsi"/>
          <w:bCs/>
          <w:iCs/>
          <w:color w:val="000000" w:themeColor="text1"/>
          <w:sz w:val="22"/>
          <w:szCs w:val="22"/>
        </w:rPr>
        <w:t>P</w:t>
      </w:r>
      <w:r w:rsidRPr="00447D2C">
        <w:rPr>
          <w:rFonts w:cstheme="minorHAnsi"/>
          <w:bCs/>
          <w:iCs/>
          <w:sz w:val="22"/>
          <w:szCs w:val="22"/>
        </w:rPr>
        <w:t xml:space="preserve">andemic: </w:t>
      </w:r>
      <w:r w:rsidRPr="00447D2C">
        <w:rPr>
          <w:rFonts w:cstheme="minorHAnsi"/>
          <w:bCs/>
          <w:iCs/>
          <w:color w:val="000000" w:themeColor="text1"/>
          <w:sz w:val="22"/>
          <w:szCs w:val="22"/>
        </w:rPr>
        <w:t>M</w:t>
      </w:r>
      <w:r w:rsidRPr="00447D2C">
        <w:rPr>
          <w:rFonts w:cstheme="minorHAnsi"/>
          <w:bCs/>
          <w:iCs/>
          <w:sz w:val="22"/>
          <w:szCs w:val="22"/>
        </w:rPr>
        <w:t xml:space="preserve">ajor </w:t>
      </w:r>
      <w:r w:rsidRPr="00447D2C">
        <w:rPr>
          <w:rFonts w:cstheme="minorHAnsi"/>
          <w:bCs/>
          <w:iCs/>
          <w:color w:val="000000" w:themeColor="text1"/>
          <w:sz w:val="22"/>
          <w:szCs w:val="22"/>
        </w:rPr>
        <w:t>R</w:t>
      </w:r>
      <w:r w:rsidRPr="00447D2C">
        <w:rPr>
          <w:rFonts w:cstheme="minorHAnsi"/>
          <w:bCs/>
          <w:iCs/>
          <w:sz w:val="22"/>
          <w:szCs w:val="22"/>
        </w:rPr>
        <w:t xml:space="preserve">isks to </w:t>
      </w:r>
      <w:r w:rsidRPr="00447D2C">
        <w:rPr>
          <w:rFonts w:cstheme="minorHAnsi"/>
          <w:bCs/>
          <w:iCs/>
          <w:color w:val="000000" w:themeColor="text1"/>
          <w:sz w:val="22"/>
          <w:szCs w:val="22"/>
        </w:rPr>
        <w:t>H</w:t>
      </w:r>
      <w:r w:rsidRPr="00447D2C">
        <w:rPr>
          <w:rFonts w:cstheme="minorHAnsi"/>
          <w:bCs/>
          <w:iCs/>
          <w:sz w:val="22"/>
          <w:szCs w:val="22"/>
        </w:rPr>
        <w:t xml:space="preserve">ealthcare and </w:t>
      </w:r>
      <w:r w:rsidRPr="00447D2C">
        <w:rPr>
          <w:rFonts w:cstheme="minorHAnsi"/>
          <w:bCs/>
          <w:iCs/>
          <w:color w:val="000000" w:themeColor="text1"/>
          <w:sz w:val="22"/>
          <w:szCs w:val="22"/>
        </w:rPr>
        <w:t>O</w:t>
      </w:r>
      <w:r w:rsidRPr="00447D2C">
        <w:rPr>
          <w:rFonts w:cstheme="minorHAnsi"/>
          <w:bCs/>
          <w:iCs/>
          <w:sz w:val="22"/>
          <w:szCs w:val="22"/>
        </w:rPr>
        <w:t xml:space="preserve">ther </w:t>
      </w:r>
      <w:r w:rsidRPr="00447D2C">
        <w:rPr>
          <w:rFonts w:cstheme="minorHAnsi"/>
          <w:bCs/>
          <w:iCs/>
          <w:color w:val="000000" w:themeColor="text1"/>
          <w:sz w:val="22"/>
          <w:szCs w:val="22"/>
        </w:rPr>
        <w:t>W</w:t>
      </w:r>
      <w:r w:rsidRPr="00447D2C">
        <w:rPr>
          <w:rFonts w:cstheme="minorHAnsi"/>
          <w:bCs/>
          <w:iCs/>
          <w:sz w:val="22"/>
          <w:szCs w:val="22"/>
        </w:rPr>
        <w:t xml:space="preserve">orkers on the </w:t>
      </w:r>
      <w:r w:rsidRPr="00447D2C">
        <w:rPr>
          <w:rFonts w:cstheme="minorHAnsi"/>
          <w:bCs/>
          <w:iCs/>
          <w:color w:val="000000" w:themeColor="text1"/>
          <w:sz w:val="22"/>
          <w:szCs w:val="22"/>
        </w:rPr>
        <w:t>F</w:t>
      </w:r>
      <w:r w:rsidRPr="00447D2C">
        <w:rPr>
          <w:rFonts w:cstheme="minorHAnsi"/>
          <w:bCs/>
          <w:iCs/>
          <w:sz w:val="22"/>
          <w:szCs w:val="22"/>
        </w:rPr>
        <w:t>ront </w:t>
      </w:r>
      <w:r w:rsidRPr="00447D2C">
        <w:rPr>
          <w:rFonts w:cstheme="minorHAnsi"/>
          <w:bCs/>
          <w:iCs/>
          <w:color w:val="000000" w:themeColor="text1"/>
          <w:sz w:val="22"/>
          <w:szCs w:val="22"/>
        </w:rPr>
        <w:t>L</w:t>
      </w:r>
      <w:r w:rsidRPr="00447D2C">
        <w:rPr>
          <w:rFonts w:cstheme="minorHAnsi"/>
          <w:bCs/>
          <w:iCs/>
          <w:sz w:val="22"/>
          <w:szCs w:val="22"/>
        </w:rPr>
        <w:t>ine &lt;</w:t>
      </w:r>
      <w:r w:rsidRPr="00447D2C">
        <w:rPr>
          <w:rFonts w:cstheme="minorHAnsi"/>
          <w:sz w:val="22"/>
          <w:szCs w:val="22"/>
        </w:rPr>
        <w:t xml:space="preserve"> </w:t>
      </w:r>
      <w:r w:rsidRPr="00447D2C">
        <w:rPr>
          <w:rFonts w:cstheme="minorHAnsi"/>
          <w:bCs/>
          <w:iCs/>
          <w:sz w:val="22"/>
          <w:szCs w:val="22"/>
        </w:rPr>
        <w:t>https://oem.bmj.com/content/oemed/77/5/281.full.pdf&gt; downloaded on 26</w:t>
      </w:r>
      <w:r w:rsidRPr="00447D2C">
        <w:rPr>
          <w:rFonts w:cstheme="minorHAnsi"/>
          <w:bCs/>
          <w:iCs/>
          <w:sz w:val="22"/>
          <w:szCs w:val="22"/>
          <w:vertAlign w:val="superscript"/>
        </w:rPr>
        <w:t>th</w:t>
      </w:r>
      <w:r w:rsidRPr="00447D2C">
        <w:rPr>
          <w:rFonts w:cstheme="minorHAnsi"/>
          <w:bCs/>
          <w:iCs/>
          <w:sz w:val="22"/>
          <w:szCs w:val="22"/>
        </w:rPr>
        <w:t xml:space="preserve"> of May, 2020</w:t>
      </w:r>
    </w:p>
    <w:p w14:paraId="3FA10171" w14:textId="77777777" w:rsidR="00FF1F00" w:rsidRDefault="00FF1F00" w:rsidP="00636750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</w:p>
    <w:p w14:paraId="5BF40845" w14:textId="445976F8" w:rsidR="00447D2C" w:rsidRPr="008F2F2D" w:rsidRDefault="00FA2CDA" w:rsidP="008F2F2D">
      <w:pPr>
        <w:pStyle w:val="FootnoteText"/>
        <w:ind w:left="567" w:hanging="567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International Labour Organisation, </w:t>
      </w:r>
      <w:r w:rsidRPr="00447D2C">
        <w:rPr>
          <w:rFonts w:cstheme="minorHAnsi"/>
          <w:bCs/>
          <w:sz w:val="22"/>
          <w:szCs w:val="22"/>
        </w:rPr>
        <w:t xml:space="preserve">COVID-19: Are </w:t>
      </w:r>
      <w:r w:rsidRPr="00447D2C">
        <w:rPr>
          <w:rFonts w:cstheme="minorHAnsi"/>
          <w:bCs/>
          <w:color w:val="000000" w:themeColor="text1"/>
          <w:sz w:val="22"/>
          <w:szCs w:val="22"/>
        </w:rPr>
        <w:t>T</w:t>
      </w:r>
      <w:r w:rsidRPr="00447D2C">
        <w:rPr>
          <w:rFonts w:cstheme="minorHAnsi"/>
          <w:bCs/>
          <w:sz w:val="22"/>
          <w:szCs w:val="22"/>
        </w:rPr>
        <w:t xml:space="preserve">here </w:t>
      </w:r>
      <w:r w:rsidRPr="00447D2C">
        <w:rPr>
          <w:rFonts w:cstheme="minorHAnsi"/>
          <w:bCs/>
          <w:color w:val="000000" w:themeColor="text1"/>
          <w:sz w:val="22"/>
          <w:szCs w:val="22"/>
        </w:rPr>
        <w:t>E</w:t>
      </w:r>
      <w:r w:rsidRPr="00447D2C">
        <w:rPr>
          <w:rFonts w:cstheme="minorHAnsi"/>
          <w:bCs/>
          <w:sz w:val="22"/>
          <w:szCs w:val="22"/>
        </w:rPr>
        <w:t xml:space="preserve">nough </w:t>
      </w:r>
      <w:r w:rsidRPr="00447D2C">
        <w:rPr>
          <w:rFonts w:cstheme="minorHAnsi"/>
          <w:bCs/>
          <w:color w:val="000000" w:themeColor="text1"/>
          <w:sz w:val="22"/>
          <w:szCs w:val="22"/>
        </w:rPr>
        <w:t>H</w:t>
      </w:r>
      <w:r w:rsidRPr="00447D2C">
        <w:rPr>
          <w:rFonts w:cstheme="minorHAnsi"/>
          <w:bCs/>
          <w:sz w:val="22"/>
          <w:szCs w:val="22"/>
        </w:rPr>
        <w:t xml:space="preserve">ealth </w:t>
      </w:r>
      <w:r w:rsidRPr="00447D2C">
        <w:rPr>
          <w:rFonts w:cstheme="minorHAnsi"/>
          <w:bCs/>
          <w:color w:val="000000" w:themeColor="text1"/>
          <w:sz w:val="22"/>
          <w:szCs w:val="22"/>
        </w:rPr>
        <w:t>W</w:t>
      </w:r>
      <w:r w:rsidRPr="00447D2C">
        <w:rPr>
          <w:rFonts w:cstheme="minorHAnsi"/>
          <w:bCs/>
          <w:sz w:val="22"/>
          <w:szCs w:val="22"/>
        </w:rPr>
        <w:t>orkers? &lt;https://ilostat.ilo.org/2020/04/03/covid-19-are-there-enough-health-workers/&gt; downloaded on 13</w:t>
      </w:r>
      <w:r w:rsidRPr="00447D2C">
        <w:rPr>
          <w:rFonts w:cstheme="minorHAnsi"/>
          <w:bCs/>
          <w:sz w:val="22"/>
          <w:szCs w:val="22"/>
          <w:vertAlign w:val="superscript"/>
        </w:rPr>
        <w:t>th</w:t>
      </w:r>
      <w:r w:rsidRPr="00447D2C">
        <w:rPr>
          <w:rFonts w:cstheme="minorHAnsi"/>
          <w:bCs/>
          <w:sz w:val="22"/>
          <w:szCs w:val="22"/>
        </w:rPr>
        <w:t xml:space="preserve"> of May, 2020</w:t>
      </w:r>
    </w:p>
    <w:p w14:paraId="0E36B534" w14:textId="4D589FB7" w:rsidR="000A5A1F" w:rsidRPr="00447D2C" w:rsidRDefault="005378F3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  <w:r w:rsidRPr="00447D2C">
        <w:rPr>
          <w:rFonts w:cstheme="minorHAnsi"/>
          <w:b/>
          <w:bCs/>
          <w:sz w:val="22"/>
          <w:szCs w:val="22"/>
        </w:rPr>
        <w:lastRenderedPageBreak/>
        <w:t xml:space="preserve">LEGAL DOCUMENTS </w:t>
      </w:r>
    </w:p>
    <w:p w14:paraId="63D235B3" w14:textId="77777777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Adewunmi v Nigerian Eagle Flour Mills (2014) LPELR-22557(CA</w:t>
      </w:r>
    </w:p>
    <w:p w14:paraId="1262FB82" w14:textId="7777777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Annex of the List of Occupational Diseases Recommendation</w:t>
      </w:r>
      <w:r w:rsidRPr="00447D2C">
        <w:rPr>
          <w:rFonts w:cstheme="minorHAnsi"/>
          <w:color w:val="0070C0"/>
          <w:sz w:val="22"/>
          <w:szCs w:val="22"/>
        </w:rPr>
        <w:t xml:space="preserve">, </w:t>
      </w:r>
      <w:r w:rsidRPr="00447D2C">
        <w:rPr>
          <w:rFonts w:cstheme="minorHAnsi"/>
          <w:sz w:val="22"/>
          <w:szCs w:val="22"/>
        </w:rPr>
        <w:t>2002 (No. 194)</w:t>
      </w:r>
    </w:p>
    <w:p w14:paraId="1B7FA879" w14:textId="77777777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7A5757C8" w14:textId="136B6EA0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 xml:space="preserve">Archbishop Anthony Okogie v Attorney General of Lagos State </w:t>
      </w:r>
      <w:r w:rsidRPr="00447D2C">
        <w:rPr>
          <w:rFonts w:cstheme="minorHAnsi"/>
          <w:sz w:val="22"/>
          <w:szCs w:val="22"/>
        </w:rPr>
        <w:t>(1981) 2 NCLR 337 at 350</w:t>
      </w:r>
    </w:p>
    <w:p w14:paraId="3A9B95AF" w14:textId="7777777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03CF7E49" w14:textId="0B6EF43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447D2C">
        <w:rPr>
          <w:rFonts w:cstheme="minorHAnsi"/>
          <w:sz w:val="22"/>
          <w:szCs w:val="22"/>
        </w:rPr>
        <w:t>Ativie</w:t>
      </w:r>
      <w:proofErr w:type="spellEnd"/>
      <w:r w:rsidRPr="00447D2C">
        <w:rPr>
          <w:rFonts w:cstheme="minorHAnsi"/>
          <w:sz w:val="22"/>
          <w:szCs w:val="22"/>
        </w:rPr>
        <w:t xml:space="preserve"> v </w:t>
      </w:r>
      <w:proofErr w:type="spellStart"/>
      <w:r w:rsidRPr="00447D2C">
        <w:rPr>
          <w:rFonts w:cstheme="minorHAnsi"/>
          <w:sz w:val="22"/>
          <w:szCs w:val="22"/>
        </w:rPr>
        <w:t>Kabelmetal</w:t>
      </w:r>
      <w:proofErr w:type="spellEnd"/>
      <w:r w:rsidRPr="00447D2C">
        <w:rPr>
          <w:rFonts w:cstheme="minorHAnsi"/>
          <w:sz w:val="22"/>
          <w:szCs w:val="22"/>
        </w:rPr>
        <w:t xml:space="preserve"> Nig. Limited (2008) LPELR-591(SC).</w:t>
      </w:r>
    </w:p>
    <w:p w14:paraId="4D728469" w14:textId="77777777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4A2C55EA" w14:textId="7DCA1AC9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 xml:space="preserve">Attorney General of Ondo State v Attorney General of the Federation &amp; </w:t>
      </w:r>
      <w:proofErr w:type="spellStart"/>
      <w:r w:rsidRPr="00447D2C">
        <w:rPr>
          <w:rFonts w:cstheme="minorHAnsi"/>
          <w:bCs/>
          <w:iCs/>
          <w:sz w:val="22"/>
          <w:szCs w:val="22"/>
        </w:rPr>
        <w:t>Ors</w:t>
      </w:r>
      <w:proofErr w:type="spellEnd"/>
      <w:r w:rsidRPr="00447D2C">
        <w:rPr>
          <w:rFonts w:cstheme="minorHAnsi"/>
          <w:sz w:val="22"/>
          <w:szCs w:val="22"/>
        </w:rPr>
        <w:t xml:space="preserve"> </w:t>
      </w:r>
      <w:r w:rsidRPr="00447D2C">
        <w:rPr>
          <w:rFonts w:cstheme="minorHAnsi"/>
          <w:bCs/>
          <w:iCs/>
          <w:sz w:val="22"/>
          <w:szCs w:val="22"/>
        </w:rPr>
        <w:t>(2002) LPELR-623 (SC) 46</w:t>
      </w:r>
    </w:p>
    <w:p w14:paraId="077DEC54" w14:textId="77777777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21E8CFF8" w14:textId="3D4E7F7E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Constitution of the Federal Republic of Nigeria 1999 (as amended)</w:t>
      </w:r>
    </w:p>
    <w:p w14:paraId="217AF123" w14:textId="7777777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7B7F2E63" w14:textId="04E0070B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De </w:t>
      </w:r>
      <w:proofErr w:type="spellStart"/>
      <w:r w:rsidRPr="00447D2C">
        <w:rPr>
          <w:rFonts w:cstheme="minorHAnsi"/>
          <w:sz w:val="22"/>
          <w:szCs w:val="22"/>
        </w:rPr>
        <w:t>Franscesco</w:t>
      </w:r>
      <w:proofErr w:type="spellEnd"/>
      <w:r w:rsidRPr="00447D2C">
        <w:rPr>
          <w:rFonts w:cstheme="minorHAnsi"/>
          <w:sz w:val="22"/>
          <w:szCs w:val="22"/>
        </w:rPr>
        <w:t xml:space="preserve"> v Barnum (1890) 45 </w:t>
      </w:r>
      <w:proofErr w:type="spellStart"/>
      <w:proofErr w:type="gramStart"/>
      <w:r w:rsidRPr="00447D2C">
        <w:rPr>
          <w:rFonts w:cstheme="minorHAnsi"/>
          <w:sz w:val="22"/>
          <w:szCs w:val="22"/>
        </w:rPr>
        <w:t>Ch.D</w:t>
      </w:r>
      <w:proofErr w:type="spellEnd"/>
      <w:proofErr w:type="gramEnd"/>
      <w:r w:rsidRPr="00447D2C">
        <w:rPr>
          <w:rFonts w:cstheme="minorHAnsi"/>
          <w:sz w:val="22"/>
          <w:szCs w:val="22"/>
        </w:rPr>
        <w:t xml:space="preserve"> 430, 438</w:t>
      </w:r>
    </w:p>
    <w:p w14:paraId="029A95DA" w14:textId="77777777" w:rsidR="00FF1F00" w:rsidRDefault="00FF1F00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59238F3D" w14:textId="7F737780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proofErr w:type="spellStart"/>
      <w:r w:rsidRPr="00447D2C">
        <w:rPr>
          <w:rFonts w:cstheme="minorHAnsi"/>
          <w:bCs/>
          <w:iCs/>
          <w:sz w:val="22"/>
          <w:szCs w:val="22"/>
        </w:rPr>
        <w:t>Ebere</w:t>
      </w:r>
      <w:proofErr w:type="spellEnd"/>
      <w:r w:rsidRPr="00447D2C">
        <w:rPr>
          <w:rFonts w:cstheme="minorHAnsi"/>
          <w:bCs/>
          <w:iCs/>
          <w:sz w:val="22"/>
          <w:szCs w:val="22"/>
        </w:rPr>
        <w:t xml:space="preserve"> Onyekachi Aloysius v Diamond Bank Plc (2015) 58 NLLR (Pt 199) 92</w:t>
      </w:r>
    </w:p>
    <w:p w14:paraId="75E56C27" w14:textId="77777777" w:rsidR="00FF1F00" w:rsidRDefault="00FF1F00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443AF9FE" w14:textId="561EC7D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Elizabeth A Oji and </w:t>
      </w:r>
      <w:proofErr w:type="spellStart"/>
      <w:r w:rsidRPr="00447D2C">
        <w:rPr>
          <w:rFonts w:cstheme="minorHAnsi"/>
          <w:sz w:val="22"/>
          <w:szCs w:val="22"/>
        </w:rPr>
        <w:t>Offornze</w:t>
      </w:r>
      <w:proofErr w:type="spellEnd"/>
      <w:r w:rsidRPr="00447D2C">
        <w:rPr>
          <w:rFonts w:cstheme="minorHAnsi"/>
          <w:sz w:val="22"/>
          <w:szCs w:val="22"/>
        </w:rPr>
        <w:t xml:space="preserve"> D </w:t>
      </w:r>
      <w:proofErr w:type="spellStart"/>
      <w:r w:rsidRPr="00447D2C">
        <w:rPr>
          <w:rFonts w:cstheme="minorHAnsi"/>
          <w:sz w:val="22"/>
          <w:szCs w:val="22"/>
        </w:rPr>
        <w:t>Amucheazi</w:t>
      </w:r>
      <w:proofErr w:type="spellEnd"/>
      <w:r w:rsidRPr="00447D2C">
        <w:rPr>
          <w:rFonts w:cstheme="minorHAnsi"/>
          <w:sz w:val="22"/>
          <w:szCs w:val="22"/>
        </w:rPr>
        <w:t xml:space="preserve">, </w:t>
      </w:r>
      <w:r w:rsidRPr="00447D2C">
        <w:rPr>
          <w:rFonts w:cstheme="minorHAnsi"/>
          <w:i/>
          <w:iCs/>
          <w:sz w:val="22"/>
          <w:szCs w:val="22"/>
        </w:rPr>
        <w:t>Employment &amp; Labour Law in Nigeria</w:t>
      </w:r>
      <w:r w:rsidRPr="00447D2C">
        <w:rPr>
          <w:rFonts w:cstheme="minorHAnsi"/>
          <w:sz w:val="22"/>
          <w:szCs w:val="22"/>
        </w:rPr>
        <w:t xml:space="preserve"> (</w:t>
      </w:r>
      <w:proofErr w:type="spellStart"/>
      <w:r w:rsidRPr="00447D2C">
        <w:rPr>
          <w:rFonts w:cstheme="minorHAnsi"/>
          <w:sz w:val="22"/>
          <w:szCs w:val="22"/>
        </w:rPr>
        <w:t>Mbeyi</w:t>
      </w:r>
      <w:proofErr w:type="spellEnd"/>
      <w:r w:rsidRPr="00447D2C">
        <w:rPr>
          <w:rFonts w:cstheme="minorHAnsi"/>
          <w:sz w:val="22"/>
          <w:szCs w:val="22"/>
        </w:rPr>
        <w:t xml:space="preserve"> &amp; Associates (Nig.) Ltd 2015) 13</w:t>
      </w:r>
    </w:p>
    <w:p w14:paraId="40ED28C3" w14:textId="77777777" w:rsidR="00FF1F00" w:rsidRDefault="00FF1F00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25954F28" w14:textId="7D730754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Employment and Decent Work for Peace and Resilience Recommendation</w:t>
      </w:r>
      <w:r w:rsidRPr="00447D2C">
        <w:rPr>
          <w:rFonts w:cstheme="minorHAnsi"/>
          <w:bCs/>
          <w:iCs/>
          <w:color w:val="0070C0"/>
          <w:sz w:val="22"/>
          <w:szCs w:val="22"/>
        </w:rPr>
        <w:t>,</w:t>
      </w:r>
      <w:r w:rsidRPr="00447D2C">
        <w:rPr>
          <w:rFonts w:cstheme="minorHAnsi"/>
          <w:bCs/>
          <w:iCs/>
          <w:sz w:val="22"/>
          <w:szCs w:val="22"/>
        </w:rPr>
        <w:t xml:space="preserve"> 2017 (No. 205)</w:t>
      </w:r>
    </w:p>
    <w:p w14:paraId="200E9FF0" w14:textId="77777777" w:rsidR="00FF1F00" w:rsidRDefault="00FF1F00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6C0A68C0" w14:textId="6541956F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Employment Injury Benefits Convention, 1964 (No. 121)</w:t>
      </w:r>
    </w:p>
    <w:p w14:paraId="79C22C66" w14:textId="7777777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666188EE" w14:textId="048191C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Employment Promotion and Protection against Unemployment Recommendation 1988 (No. 176)</w:t>
      </w:r>
    </w:p>
    <w:p w14:paraId="4FD942CE" w14:textId="77777777" w:rsidR="00FF1F00" w:rsidRDefault="00FF1F00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46CF03FA" w14:textId="6C1A8124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Employment Promotion and Protection Against Unemployment </w:t>
      </w:r>
      <w:r w:rsidRPr="00447D2C">
        <w:rPr>
          <w:rFonts w:cstheme="minorHAnsi"/>
          <w:bCs/>
          <w:sz w:val="22"/>
          <w:szCs w:val="22"/>
        </w:rPr>
        <w:t>Convention</w:t>
      </w:r>
      <w:r w:rsidRPr="00447D2C">
        <w:rPr>
          <w:rFonts w:cstheme="minorHAnsi"/>
          <w:sz w:val="22"/>
          <w:szCs w:val="22"/>
        </w:rPr>
        <w:t xml:space="preserve"> 1988</w:t>
      </w:r>
    </w:p>
    <w:p w14:paraId="6B63B1EA" w14:textId="3069B9DD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Factories Act 2004</w:t>
      </w:r>
    </w:p>
    <w:p w14:paraId="630C1EE3" w14:textId="77777777" w:rsidR="0042013B" w:rsidRPr="00447D2C" w:rsidRDefault="0042013B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201EA3C8" w14:textId="292E2C3C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Food, Beverage &amp; Tobacco SSA v Premier Breweries (1989-90) NICLR 56</w:t>
      </w:r>
    </w:p>
    <w:p w14:paraId="4D036461" w14:textId="77777777" w:rsidR="00FF1F00" w:rsidRDefault="00FF1F00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527E012D" w14:textId="5CE4B512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International Labour Organisation, </w:t>
      </w:r>
      <w:r w:rsidRPr="00447D2C">
        <w:rPr>
          <w:rFonts w:cstheme="minorHAnsi"/>
          <w:i/>
          <w:sz w:val="22"/>
          <w:szCs w:val="22"/>
        </w:rPr>
        <w:t xml:space="preserve">A Safe and Healthy Return to Work During </w:t>
      </w:r>
      <w:proofErr w:type="gramStart"/>
      <w:r w:rsidRPr="00447D2C">
        <w:rPr>
          <w:rFonts w:cstheme="minorHAnsi"/>
          <w:i/>
          <w:sz w:val="22"/>
          <w:szCs w:val="22"/>
        </w:rPr>
        <w:t>The</w:t>
      </w:r>
      <w:proofErr w:type="gramEnd"/>
      <w:r w:rsidRPr="00447D2C">
        <w:rPr>
          <w:rFonts w:cstheme="minorHAnsi"/>
          <w:i/>
          <w:sz w:val="22"/>
          <w:szCs w:val="22"/>
        </w:rPr>
        <w:t xml:space="preserve"> COVID-19 Pandemic</w:t>
      </w:r>
      <w:r w:rsidRPr="00447D2C">
        <w:rPr>
          <w:rFonts w:cstheme="minorHAnsi"/>
          <w:sz w:val="22"/>
          <w:szCs w:val="22"/>
        </w:rPr>
        <w:t xml:space="preserve"> (International Labour Organisation May 2020) 1.</w:t>
      </w:r>
    </w:p>
    <w:p w14:paraId="1C5CE778" w14:textId="77777777" w:rsidR="00FF1F00" w:rsidRDefault="00FF1F00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47000D2A" w14:textId="162ECC36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proofErr w:type="spellStart"/>
      <w:r w:rsidRPr="00447D2C">
        <w:rPr>
          <w:rFonts w:cstheme="minorHAnsi"/>
          <w:sz w:val="22"/>
          <w:szCs w:val="22"/>
        </w:rPr>
        <w:t>Isievwore</w:t>
      </w:r>
      <w:proofErr w:type="spellEnd"/>
      <w:r w:rsidRPr="00447D2C">
        <w:rPr>
          <w:rFonts w:cstheme="minorHAnsi"/>
          <w:sz w:val="22"/>
          <w:szCs w:val="22"/>
        </w:rPr>
        <w:t xml:space="preserve"> v NEPA (2002) 13 NWLR (Pt 784) 417, 434</w:t>
      </w:r>
    </w:p>
    <w:p w14:paraId="6805DAB9" w14:textId="77777777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proofErr w:type="spellStart"/>
      <w:r w:rsidRPr="00447D2C">
        <w:rPr>
          <w:rFonts w:cstheme="minorHAnsi"/>
          <w:bCs/>
          <w:iCs/>
          <w:sz w:val="22"/>
          <w:szCs w:val="22"/>
        </w:rPr>
        <w:t>Iyere</w:t>
      </w:r>
      <w:proofErr w:type="spellEnd"/>
      <w:r w:rsidRPr="00447D2C">
        <w:rPr>
          <w:rFonts w:cstheme="minorHAnsi"/>
          <w:bCs/>
          <w:iCs/>
          <w:sz w:val="22"/>
          <w:szCs w:val="22"/>
        </w:rPr>
        <w:t xml:space="preserve"> v </w:t>
      </w:r>
      <w:r w:rsidRPr="00447D2C">
        <w:rPr>
          <w:rFonts w:cstheme="minorHAnsi"/>
          <w:bCs/>
          <w:iCs/>
          <w:color w:val="000000" w:themeColor="text1"/>
          <w:sz w:val="22"/>
          <w:szCs w:val="22"/>
        </w:rPr>
        <w:t>Bendel Feed &amp; Flour Mills Ltd</w:t>
      </w:r>
      <w:r w:rsidRPr="00447D2C">
        <w:rPr>
          <w:rFonts w:cstheme="minorHAnsi"/>
          <w:bCs/>
          <w:iCs/>
          <w:color w:val="C00000"/>
          <w:sz w:val="22"/>
          <w:szCs w:val="22"/>
        </w:rPr>
        <w:t xml:space="preserve">. </w:t>
      </w:r>
      <w:r w:rsidRPr="00447D2C">
        <w:rPr>
          <w:rFonts w:cstheme="minorHAnsi"/>
          <w:bCs/>
          <w:iCs/>
          <w:sz w:val="22"/>
          <w:szCs w:val="22"/>
        </w:rPr>
        <w:t>(2008) 18 NWLR (Pt 119) 300</w:t>
      </w:r>
    </w:p>
    <w:p w14:paraId="41BC5DA8" w14:textId="7777777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  <w:lang w:val="en-US"/>
        </w:rPr>
      </w:pPr>
    </w:p>
    <w:p w14:paraId="43A4DC93" w14:textId="103AFB03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447D2C">
        <w:rPr>
          <w:rFonts w:cstheme="minorHAnsi"/>
          <w:sz w:val="22"/>
          <w:szCs w:val="22"/>
          <w:lang w:val="en-US"/>
        </w:rPr>
        <w:t>Labour</w:t>
      </w:r>
      <w:proofErr w:type="spellEnd"/>
      <w:r w:rsidRPr="00447D2C">
        <w:rPr>
          <w:rFonts w:cstheme="minorHAnsi"/>
          <w:sz w:val="22"/>
          <w:szCs w:val="22"/>
          <w:lang w:val="en-US"/>
        </w:rPr>
        <w:t xml:space="preserve"> Act 2004</w:t>
      </w:r>
    </w:p>
    <w:p w14:paraId="2FC374EA" w14:textId="7777777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26AEC66D" w14:textId="7261DF61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Labour Inspection Convention 1947 (No. 81)</w:t>
      </w:r>
    </w:p>
    <w:p w14:paraId="70013CCC" w14:textId="7777777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0D1F945E" w14:textId="0A5203C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Medical Care and Sickness Benefits Recommendation 1969 (No. 134)</w:t>
      </w:r>
    </w:p>
    <w:p w14:paraId="076796B4" w14:textId="77777777" w:rsidR="0042013B" w:rsidRPr="00447D2C" w:rsidRDefault="0042013B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66D4D480" w14:textId="7A864C0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National Minimum Wage (Amendment) Act 2011</w:t>
      </w:r>
    </w:p>
    <w:p w14:paraId="3BAAC82C" w14:textId="77777777" w:rsidR="00FF1F00" w:rsidRDefault="00FF1F00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0DE92B5D" w14:textId="3328B4BF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Nigerian Oil Mills Ltd. v Daura (1996) 8 NWLR (Pt 468) 601</w:t>
      </w:r>
    </w:p>
    <w:p w14:paraId="794BD622" w14:textId="77777777" w:rsidR="00FF1F00" w:rsidRDefault="00FF1F00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453141BD" w14:textId="21CE1016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Nursing Personnel Convention 1977 (No. 149)</w:t>
      </w:r>
    </w:p>
    <w:p w14:paraId="79F86B72" w14:textId="77777777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6BD9678A" w14:textId="109F9369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lastRenderedPageBreak/>
        <w:t>Occupational Safety and Health Convention 1981 (No. 155)</w:t>
      </w:r>
    </w:p>
    <w:p w14:paraId="54E6D306" w14:textId="77777777" w:rsidR="0042013B" w:rsidRPr="00447D2C" w:rsidRDefault="0042013B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427D253F" w14:textId="4A3EF212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Olaniyan &amp; 2 </w:t>
      </w:r>
      <w:proofErr w:type="spellStart"/>
      <w:r w:rsidRPr="00447D2C">
        <w:rPr>
          <w:rFonts w:cstheme="minorHAnsi"/>
          <w:sz w:val="22"/>
          <w:szCs w:val="22"/>
        </w:rPr>
        <w:t>Ors</w:t>
      </w:r>
      <w:proofErr w:type="spellEnd"/>
      <w:r w:rsidRPr="00447D2C">
        <w:rPr>
          <w:rFonts w:cstheme="minorHAnsi"/>
          <w:sz w:val="22"/>
          <w:szCs w:val="22"/>
        </w:rPr>
        <w:t>. v University of Lagos &amp; Anor. (1985) 2 NWLR (Pt 9) 599, 612</w:t>
      </w:r>
    </w:p>
    <w:p w14:paraId="5A0C5E7C" w14:textId="77777777" w:rsidR="002E45E6" w:rsidRDefault="002E45E6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560AAD7D" w14:textId="4F5DBC44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Protection of Wages Convention 1949 (No. 95)</w:t>
      </w:r>
    </w:p>
    <w:p w14:paraId="0388DA71" w14:textId="77777777" w:rsidR="00FF1F00" w:rsidRDefault="00FF1F00" w:rsidP="00447D2C">
      <w:pPr>
        <w:pStyle w:val="FootnoteText"/>
        <w:jc w:val="both"/>
        <w:rPr>
          <w:rFonts w:cstheme="minorHAnsi"/>
          <w:bCs/>
          <w:sz w:val="22"/>
          <w:szCs w:val="22"/>
        </w:rPr>
      </w:pPr>
    </w:p>
    <w:p w14:paraId="7CE135AE" w14:textId="6D62D4C1" w:rsidR="000A5A1F" w:rsidRPr="00447D2C" w:rsidRDefault="000A5A1F" w:rsidP="00447D2C">
      <w:pPr>
        <w:pStyle w:val="FootnoteText"/>
        <w:jc w:val="both"/>
        <w:rPr>
          <w:rFonts w:cstheme="minorHAnsi"/>
          <w:bCs/>
          <w:sz w:val="22"/>
          <w:szCs w:val="22"/>
        </w:rPr>
      </w:pPr>
      <w:r w:rsidRPr="00447D2C">
        <w:rPr>
          <w:rFonts w:cstheme="minorHAnsi"/>
          <w:bCs/>
          <w:sz w:val="22"/>
          <w:szCs w:val="22"/>
        </w:rPr>
        <w:t>Protocol of 2002 to the Occupational Safety and Health Convention</w:t>
      </w:r>
      <w:r w:rsidRPr="00447D2C">
        <w:rPr>
          <w:rFonts w:cstheme="minorHAnsi"/>
          <w:bCs/>
          <w:color w:val="0070C0"/>
          <w:sz w:val="22"/>
          <w:szCs w:val="22"/>
        </w:rPr>
        <w:t>,</w:t>
      </w:r>
      <w:r w:rsidRPr="00447D2C">
        <w:rPr>
          <w:rFonts w:cstheme="minorHAnsi"/>
          <w:bCs/>
          <w:sz w:val="22"/>
          <w:szCs w:val="22"/>
        </w:rPr>
        <w:t xml:space="preserve"> 1981 (No. P155)</w:t>
      </w:r>
    </w:p>
    <w:p w14:paraId="11199AFA" w14:textId="77777777" w:rsidR="0042013B" w:rsidRPr="00447D2C" w:rsidRDefault="0042013B" w:rsidP="00447D2C">
      <w:pPr>
        <w:pStyle w:val="FootnoteText"/>
        <w:jc w:val="both"/>
        <w:rPr>
          <w:rFonts w:cstheme="minorHAnsi"/>
          <w:bCs/>
          <w:sz w:val="22"/>
          <w:szCs w:val="22"/>
        </w:rPr>
      </w:pPr>
    </w:p>
    <w:p w14:paraId="1FB867FB" w14:textId="2576265C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Savannah Bank Plc v </w:t>
      </w:r>
      <w:proofErr w:type="spellStart"/>
      <w:r w:rsidRPr="00447D2C">
        <w:rPr>
          <w:rFonts w:cstheme="minorHAnsi"/>
          <w:sz w:val="22"/>
          <w:szCs w:val="22"/>
        </w:rPr>
        <w:t>Fakokum</w:t>
      </w:r>
      <w:proofErr w:type="spellEnd"/>
      <w:r w:rsidRPr="00447D2C">
        <w:rPr>
          <w:rFonts w:cstheme="minorHAnsi"/>
          <w:sz w:val="22"/>
          <w:szCs w:val="22"/>
        </w:rPr>
        <w:t xml:space="preserve"> (2002) 1 NWLR (Pt 749) 544</w:t>
      </w:r>
    </w:p>
    <w:p w14:paraId="4EE62145" w14:textId="77777777" w:rsidR="00FF1F00" w:rsidRDefault="00FF1F00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59D10DA9" w14:textId="3430CAF0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Social Security (Minimum Standards) Convention 1952 (No. 102), part IV</w:t>
      </w:r>
    </w:p>
    <w:p w14:paraId="1022317F" w14:textId="77777777" w:rsidR="0042013B" w:rsidRPr="00447D2C" w:rsidRDefault="0042013B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6BF519DD" w14:textId="0047B400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Termination of Employment Convention 1982 (No. 158),</w:t>
      </w:r>
    </w:p>
    <w:p w14:paraId="5A47C048" w14:textId="77777777" w:rsidR="00FF1F00" w:rsidRDefault="00FF1F00" w:rsidP="00447D2C">
      <w:pPr>
        <w:pStyle w:val="FootnoteText"/>
        <w:jc w:val="both"/>
        <w:rPr>
          <w:rFonts w:cstheme="minorHAnsi"/>
          <w:bCs/>
          <w:sz w:val="22"/>
          <w:szCs w:val="22"/>
        </w:rPr>
      </w:pPr>
    </w:p>
    <w:p w14:paraId="34EE3044" w14:textId="6D9723DD" w:rsidR="000A5A1F" w:rsidRPr="00447D2C" w:rsidRDefault="000A5A1F" w:rsidP="00447D2C">
      <w:pPr>
        <w:pStyle w:val="FootnoteText"/>
        <w:jc w:val="both"/>
        <w:rPr>
          <w:rFonts w:cstheme="minorHAnsi"/>
          <w:bCs/>
          <w:sz w:val="22"/>
          <w:szCs w:val="22"/>
        </w:rPr>
      </w:pPr>
      <w:r w:rsidRPr="00447D2C">
        <w:rPr>
          <w:rFonts w:cstheme="minorHAnsi"/>
          <w:bCs/>
          <w:sz w:val="22"/>
          <w:szCs w:val="22"/>
        </w:rPr>
        <w:t>Termination of Employment Recommendation 1982 (No. 166),</w:t>
      </w:r>
    </w:p>
    <w:p w14:paraId="434966A4" w14:textId="77777777" w:rsidR="00070E30" w:rsidRDefault="00070E30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30BE79A5" w14:textId="66CF8C62" w:rsidR="000A5A1F" w:rsidRPr="00447D2C" w:rsidRDefault="00070E30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>
        <w:rPr>
          <w:rFonts w:cstheme="minorHAnsi"/>
          <w:bCs/>
          <w:iCs/>
          <w:sz w:val="22"/>
          <w:szCs w:val="22"/>
        </w:rPr>
        <w:t>T</w:t>
      </w:r>
      <w:r w:rsidR="000A5A1F" w:rsidRPr="00447D2C">
        <w:rPr>
          <w:rFonts w:cstheme="minorHAnsi"/>
          <w:bCs/>
          <w:iCs/>
          <w:sz w:val="22"/>
          <w:szCs w:val="22"/>
        </w:rPr>
        <w:t>he Freedom of Association and Protection of the Right to Organise Convention 1948 (No. 87)</w:t>
      </w:r>
    </w:p>
    <w:p w14:paraId="230F3DD9" w14:textId="77777777" w:rsidR="00070E30" w:rsidRDefault="00070E30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164D79B9" w14:textId="7FC0ECB9" w:rsidR="000A5A1F" w:rsidRPr="00447D2C" w:rsidRDefault="00070E30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>
        <w:rPr>
          <w:rFonts w:cstheme="minorHAnsi"/>
          <w:bCs/>
          <w:iCs/>
          <w:sz w:val="22"/>
          <w:szCs w:val="22"/>
        </w:rPr>
        <w:t>T</w:t>
      </w:r>
      <w:r w:rsidR="000A5A1F" w:rsidRPr="00447D2C">
        <w:rPr>
          <w:rFonts w:cstheme="minorHAnsi"/>
          <w:bCs/>
          <w:iCs/>
          <w:sz w:val="22"/>
          <w:szCs w:val="22"/>
        </w:rPr>
        <w:t>he Right to Organise and Collective Bargaining Convention 1949 (No. 98)</w:t>
      </w:r>
    </w:p>
    <w:p w14:paraId="68063D93" w14:textId="77777777" w:rsidR="00615C8E" w:rsidRDefault="00615C8E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</w:p>
    <w:p w14:paraId="35436C53" w14:textId="72E8CCD0" w:rsidR="000A5A1F" w:rsidRPr="00447D2C" w:rsidRDefault="000A5A1F" w:rsidP="00447D2C">
      <w:pPr>
        <w:pStyle w:val="FootnoteText"/>
        <w:jc w:val="both"/>
        <w:rPr>
          <w:rFonts w:cstheme="minorHAnsi"/>
          <w:bCs/>
          <w:iCs/>
          <w:sz w:val="22"/>
          <w:szCs w:val="22"/>
        </w:rPr>
      </w:pPr>
      <w:r w:rsidRPr="00447D2C">
        <w:rPr>
          <w:rFonts w:cstheme="minorHAnsi"/>
          <w:bCs/>
          <w:iCs/>
          <w:sz w:val="22"/>
          <w:szCs w:val="22"/>
        </w:rPr>
        <w:t>The Underground Work (Women) Convention 1935 (No. 45)</w:t>
      </w:r>
    </w:p>
    <w:p w14:paraId="69027D0F" w14:textId="77777777" w:rsidR="0042013B" w:rsidRPr="00447D2C" w:rsidRDefault="0042013B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3A2D6E44" w14:textId="77777777" w:rsidR="0042013B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 xml:space="preserve">Union of Shipping, Clearing and Forwarding Agencies Workers of Nigeria v. </w:t>
      </w:r>
    </w:p>
    <w:p w14:paraId="6F953881" w14:textId="77777777" w:rsidR="00615C8E" w:rsidRDefault="00615C8E" w:rsidP="00447D2C">
      <w:pPr>
        <w:pStyle w:val="FootnoteText"/>
        <w:jc w:val="both"/>
        <w:rPr>
          <w:rFonts w:cstheme="minorHAnsi"/>
          <w:sz w:val="22"/>
          <w:szCs w:val="22"/>
        </w:rPr>
      </w:pPr>
    </w:p>
    <w:p w14:paraId="769F75E1" w14:textId="52750D8A" w:rsidR="000A5A1F" w:rsidRPr="00447D2C" w:rsidRDefault="000A5A1F" w:rsidP="00447D2C">
      <w:pPr>
        <w:pStyle w:val="FootnoteText"/>
        <w:jc w:val="both"/>
        <w:rPr>
          <w:rFonts w:cstheme="minorHAnsi"/>
          <w:sz w:val="22"/>
          <w:szCs w:val="22"/>
        </w:rPr>
      </w:pPr>
      <w:r w:rsidRPr="00447D2C">
        <w:rPr>
          <w:rFonts w:cstheme="minorHAnsi"/>
          <w:sz w:val="22"/>
          <w:szCs w:val="22"/>
        </w:rPr>
        <w:t>Management of Transatlantic Nigeria Limited (1988) Unreported Suit No. NIC/14/87.</w:t>
      </w:r>
    </w:p>
    <w:p w14:paraId="27FD44BF" w14:textId="77777777" w:rsidR="0042013B" w:rsidRPr="00447D2C" w:rsidRDefault="0042013B" w:rsidP="00447D2C">
      <w:pPr>
        <w:pStyle w:val="FootnoteText"/>
        <w:jc w:val="both"/>
        <w:rPr>
          <w:rFonts w:cstheme="minorHAnsi"/>
          <w:bCs/>
          <w:sz w:val="22"/>
          <w:szCs w:val="22"/>
        </w:rPr>
      </w:pPr>
    </w:p>
    <w:p w14:paraId="3D11286B" w14:textId="245E761B" w:rsidR="0042013B" w:rsidRPr="00447D2C" w:rsidRDefault="000A5A1F" w:rsidP="00447D2C">
      <w:pPr>
        <w:pStyle w:val="FootnoteText"/>
        <w:jc w:val="both"/>
        <w:rPr>
          <w:rFonts w:cstheme="minorHAnsi"/>
          <w:bCs/>
          <w:sz w:val="22"/>
          <w:szCs w:val="22"/>
        </w:rPr>
      </w:pPr>
      <w:r w:rsidRPr="00447D2C">
        <w:rPr>
          <w:rFonts w:cstheme="minorHAnsi"/>
          <w:bCs/>
          <w:sz w:val="22"/>
          <w:szCs w:val="22"/>
        </w:rPr>
        <w:t>Workers with Family Responsibilities Recommendation 1981 (No. 165)</w:t>
      </w:r>
    </w:p>
    <w:p w14:paraId="56E5A42D" w14:textId="77777777" w:rsidR="0042013B" w:rsidRPr="00447D2C" w:rsidRDefault="0042013B" w:rsidP="00447D2C">
      <w:pPr>
        <w:pStyle w:val="FootnoteText"/>
        <w:jc w:val="both"/>
        <w:rPr>
          <w:rFonts w:cstheme="minorHAnsi"/>
          <w:bCs/>
          <w:sz w:val="22"/>
          <w:szCs w:val="22"/>
        </w:rPr>
      </w:pPr>
    </w:p>
    <w:p w14:paraId="106058E4" w14:textId="3A4325E2" w:rsidR="000A5A1F" w:rsidRPr="00447D2C" w:rsidRDefault="000A5A1F" w:rsidP="00447D2C">
      <w:pPr>
        <w:pStyle w:val="FootnoteText"/>
        <w:jc w:val="both"/>
        <w:rPr>
          <w:rFonts w:cstheme="minorHAnsi"/>
          <w:bCs/>
          <w:sz w:val="22"/>
          <w:szCs w:val="22"/>
        </w:rPr>
      </w:pPr>
      <w:r w:rsidRPr="00447D2C">
        <w:rPr>
          <w:rFonts w:cstheme="minorHAnsi"/>
          <w:bCs/>
          <w:sz w:val="22"/>
          <w:szCs w:val="22"/>
        </w:rPr>
        <w:t>Workers with Family Responsibilities Convention 1981 (No. 156</w:t>
      </w:r>
    </w:p>
    <w:p w14:paraId="7D00FE21" w14:textId="77777777" w:rsidR="0042013B" w:rsidRPr="00447D2C" w:rsidRDefault="0042013B" w:rsidP="00447D2C">
      <w:pPr>
        <w:pStyle w:val="FootnoteText"/>
        <w:jc w:val="both"/>
        <w:rPr>
          <w:rFonts w:cstheme="minorHAnsi"/>
          <w:b/>
          <w:bCs/>
          <w:sz w:val="22"/>
          <w:szCs w:val="22"/>
        </w:rPr>
      </w:pPr>
    </w:p>
    <w:sectPr w:rsidR="0042013B" w:rsidRPr="00447D2C" w:rsidSect="008F2F2D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7A"/>
    <w:rsid w:val="00070E30"/>
    <w:rsid w:val="00071F9A"/>
    <w:rsid w:val="000A5A1F"/>
    <w:rsid w:val="00171C4D"/>
    <w:rsid w:val="001D2FEC"/>
    <w:rsid w:val="002E45E6"/>
    <w:rsid w:val="002F39EC"/>
    <w:rsid w:val="003E10FC"/>
    <w:rsid w:val="0040155E"/>
    <w:rsid w:val="0042013B"/>
    <w:rsid w:val="00447D2C"/>
    <w:rsid w:val="005378F3"/>
    <w:rsid w:val="00615C8E"/>
    <w:rsid w:val="00636750"/>
    <w:rsid w:val="00673B39"/>
    <w:rsid w:val="00731B8F"/>
    <w:rsid w:val="00777477"/>
    <w:rsid w:val="008F2F2D"/>
    <w:rsid w:val="00A7157A"/>
    <w:rsid w:val="00B2305B"/>
    <w:rsid w:val="00B45D61"/>
    <w:rsid w:val="00C43644"/>
    <w:rsid w:val="00CD566C"/>
    <w:rsid w:val="00DF1F9D"/>
    <w:rsid w:val="00E40B3C"/>
    <w:rsid w:val="00E86BFC"/>
    <w:rsid w:val="00EC18E2"/>
    <w:rsid w:val="00FA2CDA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F66E"/>
  <w15:chartTrackingRefBased/>
  <w15:docId w15:val="{480AE765-D0EB-4A8E-A9E2-28061AF2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7157A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57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ODUNIYI</dc:creator>
  <cp:keywords/>
  <dc:description/>
  <cp:lastModifiedBy>ODUNIYI</cp:lastModifiedBy>
  <cp:revision>20</cp:revision>
  <dcterms:created xsi:type="dcterms:W3CDTF">2021-06-28T09:00:00Z</dcterms:created>
  <dcterms:modified xsi:type="dcterms:W3CDTF">2021-06-29T15:47:00Z</dcterms:modified>
</cp:coreProperties>
</file>