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4D" w:rsidRPr="00F05D7D" w:rsidRDefault="00D3244D" w:rsidP="00D3244D">
      <w:pPr>
        <w:tabs>
          <w:tab w:val="left" w:pos="2142"/>
        </w:tabs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245FE">
        <w:rPr>
          <w:rFonts w:ascii="Garamond" w:hAnsi="Garamond" w:cs="Times New Roman"/>
          <w:b/>
          <w:sz w:val="24"/>
          <w:szCs w:val="24"/>
        </w:rPr>
        <w:t>DAFTAR PUSTAKA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sz w:val="24"/>
          <w:szCs w:val="24"/>
        </w:rPr>
        <w:fldChar w:fldCharType="begin" w:fldLock="1"/>
      </w:r>
      <w:r w:rsidRPr="009245FE">
        <w:rPr>
          <w:rFonts w:ascii="Garamond" w:hAnsi="Garamond" w:cs="Times New Roman"/>
          <w:sz w:val="24"/>
          <w:szCs w:val="24"/>
        </w:rPr>
        <w:instrText xml:space="preserve">ADDIN Mendeley Bibliography CSL_BIBLIOGRAPHY </w:instrText>
      </w:r>
      <w:r w:rsidRPr="009245FE">
        <w:rPr>
          <w:rFonts w:ascii="Garamond" w:hAnsi="Garamond" w:cs="Times New Roman"/>
          <w:sz w:val="24"/>
          <w:szCs w:val="24"/>
        </w:rPr>
        <w:fldChar w:fldCharType="separate"/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Ahmad, M. (2010). Pendidikan Lingkungan Hidup Dan Masa Depan Ekologi Manusia.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FORUM TARBIYAH Vol. 8, No. 1, Juni 2010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8</w:t>
      </w:r>
      <w:r w:rsidRPr="009245FE">
        <w:rPr>
          <w:rFonts w:ascii="Garamond" w:hAnsi="Garamond" w:cs="Times New Roman"/>
          <w:noProof/>
          <w:sz w:val="24"/>
          <w:szCs w:val="24"/>
        </w:rPr>
        <w:t>, 57–71.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ind w:left="567" w:hanging="567"/>
        <w:jc w:val="both"/>
        <w:rPr>
          <w:rFonts w:ascii="Garamond" w:hAnsi="Garamond"/>
        </w:rPr>
      </w:pPr>
      <w:r w:rsidRPr="009245FE">
        <w:rPr>
          <w:rFonts w:ascii="Garamond" w:hAnsi="Garamond" w:cs="Times New Roman"/>
          <w:sz w:val="24"/>
          <w:szCs w:val="24"/>
        </w:rPr>
        <w:t xml:space="preserve">Ananda, P. (June 5, 2018). Bahaya Sampah Plastik Jangka Panjang yang Tidak Anda Duga. </w:t>
      </w:r>
      <w:r w:rsidRPr="009245FE">
        <w:rPr>
          <w:rFonts w:ascii="Garamond" w:hAnsi="Garamond" w:cs="Times New Roman"/>
          <w:i/>
          <w:sz w:val="24"/>
          <w:szCs w:val="24"/>
        </w:rPr>
        <w:t xml:space="preserve">Oke Zone Tv. </w:t>
      </w:r>
      <w:r w:rsidRPr="009245FE">
        <w:rPr>
          <w:rFonts w:ascii="Garamond" w:hAnsi="Garamond" w:cs="Times New Roman"/>
          <w:sz w:val="24"/>
          <w:szCs w:val="24"/>
        </w:rPr>
        <w:t>Retrieved from:</w:t>
      </w:r>
      <w:r w:rsidRPr="009245FE">
        <w:rPr>
          <w:rFonts w:ascii="Garamond" w:hAnsi="Garamond" w:cs="Times New Roman"/>
          <w:i/>
          <w:sz w:val="24"/>
          <w:szCs w:val="24"/>
        </w:rPr>
        <w:t xml:space="preserve"> </w:t>
      </w:r>
      <w:r w:rsidRPr="009245FE">
        <w:rPr>
          <w:rFonts w:ascii="Garamond" w:hAnsi="Garamond" w:cs="Times New Roman"/>
          <w:sz w:val="24"/>
          <w:szCs w:val="24"/>
        </w:rPr>
        <w:t xml:space="preserve"> https://lifestyle.okezone.com/read/2018/06/05/481/1906793/bahaya-sampah-plastik-jangka-panjang-yang-tidak-anda-duvga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9245FE">
        <w:rPr>
          <w:rFonts w:ascii="Garamond" w:hAnsi="Garamond" w:cs="Times New Roman"/>
          <w:sz w:val="24"/>
          <w:szCs w:val="24"/>
        </w:rPr>
        <w:t xml:space="preserve"> Anto, G. (November 26, 2018). ##NoStrawMovement : Larangan Penggunaan Sedotan Plastik. </w:t>
      </w:r>
      <w:r w:rsidRPr="009245FE">
        <w:rPr>
          <w:rFonts w:ascii="Garamond" w:hAnsi="Garamond" w:cs="Times New Roman"/>
          <w:i/>
          <w:sz w:val="24"/>
          <w:szCs w:val="24"/>
        </w:rPr>
        <w:t>Namalo News</w:t>
      </w:r>
      <w:r w:rsidRPr="009245FE">
        <w:rPr>
          <w:rFonts w:ascii="Garamond" w:hAnsi="Garamond" w:cs="Times New Roman"/>
          <w:sz w:val="24"/>
          <w:szCs w:val="24"/>
        </w:rPr>
        <w:t>. Retrieved from:  https://www.namalonews.com/2018/11/26/no-straw-movement-larangan-penggunaan-sedotan-plastik/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Farma Rahayu, M. I., F. Susanto, A., &amp; Sukma Muliya, L. (2018). gerakan sosial pemberdayaan hukum dalam pelestarian fungsi lingkungan hidup berbasis kearifan lokal melalui metode patanjala.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bina hukum lingkungan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2</w:t>
      </w:r>
      <w:r w:rsidRPr="009245FE">
        <w:rPr>
          <w:rFonts w:ascii="Garamond" w:hAnsi="Garamond" w:cs="Times New Roman"/>
          <w:noProof/>
          <w:sz w:val="24"/>
          <w:szCs w:val="24"/>
        </w:rPr>
        <w:t>(1), 47–56. https://doi.org/10.24970/jbhl.v2n1.5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9245FE">
        <w:rPr>
          <w:rFonts w:ascii="Garamond" w:hAnsi="Garamond" w:cs="Times New Roman"/>
          <w:sz w:val="24"/>
          <w:szCs w:val="24"/>
        </w:rPr>
        <w:t xml:space="preserve">Intan, G. (November 19, 2018). Selamatkan Lingkungan, Gerakan Tanpa Sedotan Plastik Mulai Nge-Trend di Masyarakat. </w:t>
      </w:r>
      <w:r w:rsidRPr="009245FE">
        <w:rPr>
          <w:rFonts w:ascii="Garamond" w:hAnsi="Garamond" w:cs="Times New Roman"/>
          <w:i/>
          <w:sz w:val="24"/>
          <w:szCs w:val="24"/>
        </w:rPr>
        <w:t>VOA Indonesia</w:t>
      </w:r>
      <w:r w:rsidRPr="009245FE">
        <w:rPr>
          <w:rFonts w:ascii="Garamond" w:hAnsi="Garamond" w:cs="Times New Roman"/>
          <w:sz w:val="24"/>
          <w:szCs w:val="24"/>
        </w:rPr>
        <w:t>. Retrieved From: https://www.voaindonesia.com/a/selamatkan-lingkungan-gerakan-tanpa-sedotan-mulai-nge-trend-di-masyarakat/4664637.html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9245FE">
        <w:rPr>
          <w:rFonts w:ascii="Garamond" w:hAnsi="Garamond" w:cs="Times New Roman"/>
          <w:sz w:val="24"/>
          <w:szCs w:val="24"/>
        </w:rPr>
        <w:t xml:space="preserve">Juniman, P, T. (July 02, 2018). Gerakan Tanpa Sedotan, Cara Baru Kurangi Sampah Sedotan Plastik. </w:t>
      </w:r>
      <w:r w:rsidRPr="009245FE">
        <w:rPr>
          <w:rFonts w:ascii="Garamond" w:hAnsi="Garamond" w:cs="Times New Roman"/>
          <w:i/>
          <w:sz w:val="24"/>
          <w:szCs w:val="24"/>
        </w:rPr>
        <w:t>CNN News Indonesia</w:t>
      </w:r>
      <w:r w:rsidRPr="009245FE">
        <w:rPr>
          <w:rFonts w:ascii="Garamond" w:hAnsi="Garamond" w:cs="Times New Roman"/>
          <w:sz w:val="24"/>
          <w:szCs w:val="24"/>
        </w:rPr>
        <w:t>. Retrieved From: https://www.cnnindonesia.com/gaya-hidup/20180629142643-282-310154/gerakan-tanpa-sedotan-cara-baru-kurangi-sampah-plastik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Madubrangti, D. (2015). B. Herry Priyono, Anthony Giddens: suatu pengantar. Cetakan kedua. Jakarta: Kepustakaan Populer Gramedia, 2003, 98 hlm. (Cetakan pertama 2002). ISBN 979-9023-85-8. Harga: Rp15.000,00 (soft cover).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Wacana, Journal of the Humanities of Indonesia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10</w:t>
      </w:r>
      <w:r w:rsidRPr="009245FE">
        <w:rPr>
          <w:rFonts w:ascii="Garamond" w:hAnsi="Garamond" w:cs="Times New Roman"/>
          <w:noProof/>
          <w:sz w:val="24"/>
          <w:szCs w:val="24"/>
        </w:rPr>
        <w:t>(1), 168. https://doi.org/10.17510/wjhi.v10i1.185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Ritzer, G. D. D. J. G. (2007). Teori Sosiologi Modern.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Protein Science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16</w:t>
      </w:r>
      <w:r w:rsidRPr="009245FE">
        <w:rPr>
          <w:rFonts w:ascii="Garamond" w:hAnsi="Garamond" w:cs="Times New Roman"/>
          <w:noProof/>
          <w:sz w:val="24"/>
          <w:szCs w:val="24"/>
        </w:rPr>
        <w:t>(4), 733–743. https://doi.org/10.1161/01.STR.32.1.139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Sari, D. K., &amp; Siahainenia, R. R. (2017). Gerakan Sosial Baru di Ruang Publik Virtual pada Kasus Satinah.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Jurnal Ilmu Komunikasi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12</w:t>
      </w:r>
      <w:r w:rsidRPr="009245FE">
        <w:rPr>
          <w:rFonts w:ascii="Garamond" w:hAnsi="Garamond" w:cs="Times New Roman"/>
          <w:noProof/>
          <w:sz w:val="24"/>
          <w:szCs w:val="24"/>
        </w:rPr>
        <w:t>(1). https://doi.org/10.24002/jik.v12i1.446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Suharko, -. (2006). Gerakan Sosial Baru di Indonesia: Repertoar Gerakan Petani.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Jurnal Ilmu Sosial Dan Ilmu Politik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10</w:t>
      </w:r>
      <w:r w:rsidRPr="009245FE">
        <w:rPr>
          <w:rFonts w:ascii="Garamond" w:hAnsi="Garamond" w:cs="Times New Roman"/>
          <w:noProof/>
          <w:sz w:val="24"/>
          <w:szCs w:val="24"/>
        </w:rPr>
        <w:t>(1), 1–34. https://doi.org/10.22146/JSP.11020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Sukmana, O. (2013). Konvergensi Antara Resource Oriented Theory Dalam Studi Gerakan.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Ilmu Kesejahteraan Sosial</w:t>
      </w:r>
      <w:r w:rsidRPr="009245FE">
        <w:rPr>
          <w:rFonts w:ascii="Garamond" w:hAnsi="Garamond" w:cs="Times New Roman"/>
          <w:noProof/>
          <w:sz w:val="24"/>
          <w:szCs w:val="24"/>
        </w:rPr>
        <w:t>, (1).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Ushuluddin, D. F. (n.d.).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 xml:space="preserve">Dosen Fakultas Ushuluddin, IAIN Raden Intan Lampung, Prodi Pemikiran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lastRenderedPageBreak/>
        <w:t xml:space="preserve">Politik Islam. </w:t>
      </w:r>
      <w:r w:rsidRPr="009245FE">
        <w:rPr>
          <w:rFonts w:ascii="Times New Roman" w:hAnsi="Times New Roman" w:cs="Times New Roman"/>
          <w:i/>
          <w:iCs/>
          <w:noProof/>
          <w:sz w:val="24"/>
          <w:szCs w:val="24"/>
        </w:rPr>
        <w:t>∗</w:t>
      </w:r>
      <w:r w:rsidRPr="009245FE">
        <w:rPr>
          <w:rFonts w:ascii="Garamond" w:hAnsi="Garamond" w:cs="Times New Roman"/>
          <w:noProof/>
          <w:sz w:val="24"/>
          <w:szCs w:val="24"/>
        </w:rPr>
        <w:t>.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  <w:szCs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Yuanjaya, P. (2018a). Modal Sosial Dalam Gerakan Lingkungan: Studi Kasus Di Kampung Gambiran Dan Gondolayu Lor, Kota Yogyakarta.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Natapraja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3</w:t>
      </w:r>
      <w:r w:rsidRPr="009245FE">
        <w:rPr>
          <w:rFonts w:ascii="Garamond" w:hAnsi="Garamond" w:cs="Times New Roman"/>
          <w:noProof/>
          <w:sz w:val="24"/>
          <w:szCs w:val="24"/>
        </w:rPr>
        <w:t>(1), 57–72. https://doi.org/10.21831/jnp.v3i1.11958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noProof/>
          <w:sz w:val="24"/>
        </w:rPr>
      </w:pPr>
      <w:r w:rsidRPr="009245FE">
        <w:rPr>
          <w:rFonts w:ascii="Garamond" w:hAnsi="Garamond" w:cs="Times New Roman"/>
          <w:noProof/>
          <w:sz w:val="24"/>
          <w:szCs w:val="24"/>
        </w:rPr>
        <w:t xml:space="preserve">Yuanjaya, P. (2018b). Modal Sosial Dalam Gerakan Lingkungan: Studi Kasus Di Kampung Gambiran Dan Gondolayu Lor, Kota Yogyakarta.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Natapraja</w:t>
      </w:r>
      <w:r w:rsidRPr="009245FE">
        <w:rPr>
          <w:rFonts w:ascii="Garamond" w:hAnsi="Garamond" w:cs="Times New Roman"/>
          <w:noProof/>
          <w:sz w:val="24"/>
          <w:szCs w:val="24"/>
        </w:rPr>
        <w:t xml:space="preserve">, </w:t>
      </w:r>
      <w:r w:rsidRPr="009245FE">
        <w:rPr>
          <w:rFonts w:ascii="Garamond" w:hAnsi="Garamond" w:cs="Times New Roman"/>
          <w:i/>
          <w:iCs/>
          <w:noProof/>
          <w:sz w:val="24"/>
          <w:szCs w:val="24"/>
        </w:rPr>
        <w:t>3</w:t>
      </w:r>
      <w:r w:rsidRPr="009245FE">
        <w:rPr>
          <w:rFonts w:ascii="Garamond" w:hAnsi="Garamond" w:cs="Times New Roman"/>
          <w:noProof/>
          <w:sz w:val="24"/>
          <w:szCs w:val="24"/>
        </w:rPr>
        <w:t>(1). https://doi.org/10.21831/jnp.v3i1.11958</w:t>
      </w:r>
    </w:p>
    <w:p w:rsidR="00D3244D" w:rsidRPr="009245FE" w:rsidRDefault="00D3244D" w:rsidP="00D3244D">
      <w:pPr>
        <w:widowControl w:val="0"/>
        <w:tabs>
          <w:tab w:val="left" w:pos="2142"/>
        </w:tabs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Garamond" w:hAnsi="Garamond" w:cs="Times New Roman"/>
          <w:sz w:val="24"/>
          <w:szCs w:val="24"/>
        </w:rPr>
      </w:pPr>
      <w:r w:rsidRPr="009245FE">
        <w:rPr>
          <w:rFonts w:ascii="Garamond" w:hAnsi="Garamond" w:cs="Times New Roman"/>
          <w:sz w:val="24"/>
          <w:szCs w:val="24"/>
        </w:rPr>
        <w:fldChar w:fldCharType="end"/>
      </w:r>
      <w:r w:rsidRPr="009245FE">
        <w:rPr>
          <w:rFonts w:ascii="Garamond" w:hAnsi="Garamond" w:cs="Times New Roman"/>
          <w:sz w:val="24"/>
          <w:szCs w:val="24"/>
        </w:rPr>
        <w:t xml:space="preserve"> </w:t>
      </w:r>
    </w:p>
    <w:p w:rsidR="00D3244D" w:rsidRPr="009245FE" w:rsidRDefault="00D3244D" w:rsidP="00D3244D">
      <w:pPr>
        <w:tabs>
          <w:tab w:val="left" w:pos="2142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3244D" w:rsidRPr="009245FE" w:rsidRDefault="00D3244D" w:rsidP="00D3244D">
      <w:pPr>
        <w:tabs>
          <w:tab w:val="left" w:pos="2142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1D1B30" w:rsidRDefault="001D1B30"/>
    <w:sectPr w:rsidR="001D1B30" w:rsidSect="00956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3244D"/>
    <w:rsid w:val="00004EBC"/>
    <w:rsid w:val="00017A26"/>
    <w:rsid w:val="0002352F"/>
    <w:rsid w:val="00030097"/>
    <w:rsid w:val="00031700"/>
    <w:rsid w:val="00033A09"/>
    <w:rsid w:val="000500D8"/>
    <w:rsid w:val="00064406"/>
    <w:rsid w:val="00072366"/>
    <w:rsid w:val="00074616"/>
    <w:rsid w:val="000817B2"/>
    <w:rsid w:val="00094EEE"/>
    <w:rsid w:val="000B37D5"/>
    <w:rsid w:val="000B53FD"/>
    <w:rsid w:val="000C165B"/>
    <w:rsid w:val="000D6405"/>
    <w:rsid w:val="000E6C49"/>
    <w:rsid w:val="00100DA0"/>
    <w:rsid w:val="0010245D"/>
    <w:rsid w:val="0010714F"/>
    <w:rsid w:val="001076DA"/>
    <w:rsid w:val="00111341"/>
    <w:rsid w:val="00131848"/>
    <w:rsid w:val="00135677"/>
    <w:rsid w:val="00142AB5"/>
    <w:rsid w:val="00146765"/>
    <w:rsid w:val="00153A61"/>
    <w:rsid w:val="00155234"/>
    <w:rsid w:val="00165B42"/>
    <w:rsid w:val="001834A9"/>
    <w:rsid w:val="001971E8"/>
    <w:rsid w:val="001A5AE6"/>
    <w:rsid w:val="001A62D5"/>
    <w:rsid w:val="001A74BF"/>
    <w:rsid w:val="001C1DE1"/>
    <w:rsid w:val="001C390E"/>
    <w:rsid w:val="001D1B30"/>
    <w:rsid w:val="001F31AB"/>
    <w:rsid w:val="00215E06"/>
    <w:rsid w:val="002208DE"/>
    <w:rsid w:val="002225D5"/>
    <w:rsid w:val="00223EFA"/>
    <w:rsid w:val="00231530"/>
    <w:rsid w:val="002354AD"/>
    <w:rsid w:val="0024127D"/>
    <w:rsid w:val="00243FDF"/>
    <w:rsid w:val="00246493"/>
    <w:rsid w:val="002742C3"/>
    <w:rsid w:val="0029492C"/>
    <w:rsid w:val="00297E96"/>
    <w:rsid w:val="002B1E69"/>
    <w:rsid w:val="002B2B9F"/>
    <w:rsid w:val="002B67EF"/>
    <w:rsid w:val="002D455A"/>
    <w:rsid w:val="002E2AE8"/>
    <w:rsid w:val="003063DA"/>
    <w:rsid w:val="00310066"/>
    <w:rsid w:val="0031147E"/>
    <w:rsid w:val="003129D3"/>
    <w:rsid w:val="00325F66"/>
    <w:rsid w:val="00326799"/>
    <w:rsid w:val="00352DA0"/>
    <w:rsid w:val="00396881"/>
    <w:rsid w:val="003A0419"/>
    <w:rsid w:val="003A085B"/>
    <w:rsid w:val="003C0448"/>
    <w:rsid w:val="003C4D4D"/>
    <w:rsid w:val="003D29CB"/>
    <w:rsid w:val="003D72CA"/>
    <w:rsid w:val="003E1304"/>
    <w:rsid w:val="003F6593"/>
    <w:rsid w:val="003F73CC"/>
    <w:rsid w:val="00401641"/>
    <w:rsid w:val="00454400"/>
    <w:rsid w:val="0045671B"/>
    <w:rsid w:val="00457A2B"/>
    <w:rsid w:val="004777B3"/>
    <w:rsid w:val="00485848"/>
    <w:rsid w:val="00487459"/>
    <w:rsid w:val="00494E00"/>
    <w:rsid w:val="004C6C9F"/>
    <w:rsid w:val="004F0AC6"/>
    <w:rsid w:val="004F3C5C"/>
    <w:rsid w:val="004F3E52"/>
    <w:rsid w:val="0050292F"/>
    <w:rsid w:val="0051424B"/>
    <w:rsid w:val="005250F8"/>
    <w:rsid w:val="00530EDD"/>
    <w:rsid w:val="00536E93"/>
    <w:rsid w:val="005468F5"/>
    <w:rsid w:val="00546D77"/>
    <w:rsid w:val="00550586"/>
    <w:rsid w:val="00566FB2"/>
    <w:rsid w:val="005673B8"/>
    <w:rsid w:val="005711E0"/>
    <w:rsid w:val="00587F5A"/>
    <w:rsid w:val="005A6B31"/>
    <w:rsid w:val="005B3F91"/>
    <w:rsid w:val="005D0E93"/>
    <w:rsid w:val="00613E85"/>
    <w:rsid w:val="00620D92"/>
    <w:rsid w:val="0065097B"/>
    <w:rsid w:val="006661F3"/>
    <w:rsid w:val="00667AE1"/>
    <w:rsid w:val="00673BBD"/>
    <w:rsid w:val="0069185B"/>
    <w:rsid w:val="00697961"/>
    <w:rsid w:val="006A4DCC"/>
    <w:rsid w:val="006B72B4"/>
    <w:rsid w:val="006C1A52"/>
    <w:rsid w:val="006C4AA3"/>
    <w:rsid w:val="006D09DE"/>
    <w:rsid w:val="006D7560"/>
    <w:rsid w:val="006E40AB"/>
    <w:rsid w:val="007012A0"/>
    <w:rsid w:val="00724E68"/>
    <w:rsid w:val="00725764"/>
    <w:rsid w:val="00737FBE"/>
    <w:rsid w:val="00740427"/>
    <w:rsid w:val="00754BFA"/>
    <w:rsid w:val="0076684C"/>
    <w:rsid w:val="007868B8"/>
    <w:rsid w:val="007875E5"/>
    <w:rsid w:val="0079246B"/>
    <w:rsid w:val="007973A6"/>
    <w:rsid w:val="007A6904"/>
    <w:rsid w:val="007A6FC4"/>
    <w:rsid w:val="007B65FE"/>
    <w:rsid w:val="007C62DF"/>
    <w:rsid w:val="007F3E48"/>
    <w:rsid w:val="00805CEB"/>
    <w:rsid w:val="008078E5"/>
    <w:rsid w:val="008239D9"/>
    <w:rsid w:val="0083587D"/>
    <w:rsid w:val="00837E3C"/>
    <w:rsid w:val="00842025"/>
    <w:rsid w:val="00857E9C"/>
    <w:rsid w:val="00860233"/>
    <w:rsid w:val="0086557E"/>
    <w:rsid w:val="0088413A"/>
    <w:rsid w:val="00891546"/>
    <w:rsid w:val="00891B39"/>
    <w:rsid w:val="00893714"/>
    <w:rsid w:val="008A00FB"/>
    <w:rsid w:val="008A26DC"/>
    <w:rsid w:val="008A6616"/>
    <w:rsid w:val="008B1D62"/>
    <w:rsid w:val="008D324D"/>
    <w:rsid w:val="008D3C0D"/>
    <w:rsid w:val="008D461A"/>
    <w:rsid w:val="008E54CD"/>
    <w:rsid w:val="008E79DD"/>
    <w:rsid w:val="00901402"/>
    <w:rsid w:val="00927D28"/>
    <w:rsid w:val="0093768D"/>
    <w:rsid w:val="00945758"/>
    <w:rsid w:val="00947060"/>
    <w:rsid w:val="00955AF9"/>
    <w:rsid w:val="00956A96"/>
    <w:rsid w:val="009614B7"/>
    <w:rsid w:val="00976BF8"/>
    <w:rsid w:val="009811E5"/>
    <w:rsid w:val="00991E56"/>
    <w:rsid w:val="0099292A"/>
    <w:rsid w:val="0099629F"/>
    <w:rsid w:val="009C0376"/>
    <w:rsid w:val="009C3DA8"/>
    <w:rsid w:val="009E0F66"/>
    <w:rsid w:val="00A0314A"/>
    <w:rsid w:val="00A04766"/>
    <w:rsid w:val="00A055AB"/>
    <w:rsid w:val="00A243D6"/>
    <w:rsid w:val="00A33489"/>
    <w:rsid w:val="00A53AB7"/>
    <w:rsid w:val="00A66863"/>
    <w:rsid w:val="00A72700"/>
    <w:rsid w:val="00A9090F"/>
    <w:rsid w:val="00A96941"/>
    <w:rsid w:val="00A974E6"/>
    <w:rsid w:val="00AA4EB0"/>
    <w:rsid w:val="00AA6E32"/>
    <w:rsid w:val="00AC39D0"/>
    <w:rsid w:val="00AC5B4D"/>
    <w:rsid w:val="00AD0696"/>
    <w:rsid w:val="00AE01A8"/>
    <w:rsid w:val="00AE1412"/>
    <w:rsid w:val="00AE3D63"/>
    <w:rsid w:val="00AF1792"/>
    <w:rsid w:val="00AF4EE1"/>
    <w:rsid w:val="00B0465B"/>
    <w:rsid w:val="00B05DED"/>
    <w:rsid w:val="00B322A4"/>
    <w:rsid w:val="00B35A39"/>
    <w:rsid w:val="00B42380"/>
    <w:rsid w:val="00B43616"/>
    <w:rsid w:val="00B50588"/>
    <w:rsid w:val="00B53D5F"/>
    <w:rsid w:val="00B76EB7"/>
    <w:rsid w:val="00B81DD1"/>
    <w:rsid w:val="00B964EA"/>
    <w:rsid w:val="00BA1001"/>
    <w:rsid w:val="00BB376B"/>
    <w:rsid w:val="00BC38B5"/>
    <w:rsid w:val="00BF2CC7"/>
    <w:rsid w:val="00BF4897"/>
    <w:rsid w:val="00C01A9F"/>
    <w:rsid w:val="00C04608"/>
    <w:rsid w:val="00C06BF2"/>
    <w:rsid w:val="00C23004"/>
    <w:rsid w:val="00C523EA"/>
    <w:rsid w:val="00C56FFF"/>
    <w:rsid w:val="00C574AD"/>
    <w:rsid w:val="00C66C12"/>
    <w:rsid w:val="00C818F0"/>
    <w:rsid w:val="00CA6C03"/>
    <w:rsid w:val="00CC3216"/>
    <w:rsid w:val="00CD0E0A"/>
    <w:rsid w:val="00CD15EC"/>
    <w:rsid w:val="00CE1813"/>
    <w:rsid w:val="00CE27EC"/>
    <w:rsid w:val="00D06F48"/>
    <w:rsid w:val="00D106BB"/>
    <w:rsid w:val="00D140BB"/>
    <w:rsid w:val="00D25799"/>
    <w:rsid w:val="00D3244D"/>
    <w:rsid w:val="00D36194"/>
    <w:rsid w:val="00D42FAB"/>
    <w:rsid w:val="00D510FE"/>
    <w:rsid w:val="00D53F9D"/>
    <w:rsid w:val="00D641FF"/>
    <w:rsid w:val="00D676FF"/>
    <w:rsid w:val="00D71E84"/>
    <w:rsid w:val="00D838CE"/>
    <w:rsid w:val="00D84F8D"/>
    <w:rsid w:val="00D85CED"/>
    <w:rsid w:val="00D9017D"/>
    <w:rsid w:val="00D90A75"/>
    <w:rsid w:val="00D90F76"/>
    <w:rsid w:val="00DA54F7"/>
    <w:rsid w:val="00DB23C3"/>
    <w:rsid w:val="00DC2835"/>
    <w:rsid w:val="00DD15EA"/>
    <w:rsid w:val="00DD5F90"/>
    <w:rsid w:val="00DE2427"/>
    <w:rsid w:val="00E07494"/>
    <w:rsid w:val="00E2377D"/>
    <w:rsid w:val="00E57BAB"/>
    <w:rsid w:val="00E9058B"/>
    <w:rsid w:val="00EA2CE2"/>
    <w:rsid w:val="00EC695E"/>
    <w:rsid w:val="00EC734A"/>
    <w:rsid w:val="00EC763E"/>
    <w:rsid w:val="00F04868"/>
    <w:rsid w:val="00F04BA0"/>
    <w:rsid w:val="00F5039B"/>
    <w:rsid w:val="00F547F3"/>
    <w:rsid w:val="00F57D60"/>
    <w:rsid w:val="00F72030"/>
    <w:rsid w:val="00F7375F"/>
    <w:rsid w:val="00FB021C"/>
    <w:rsid w:val="00FB5D5A"/>
    <w:rsid w:val="00FC0A1B"/>
    <w:rsid w:val="00FC3E7F"/>
    <w:rsid w:val="00FD45FD"/>
    <w:rsid w:val="00FD668E"/>
    <w:rsid w:val="00F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WINDOWS_8.1 PRO</dc:creator>
  <cp:lastModifiedBy>WINDOWS_8.1 PRO</cp:lastModifiedBy>
  <cp:revision>1</cp:revision>
  <dcterms:created xsi:type="dcterms:W3CDTF">2019-05-26T15:59:00Z</dcterms:created>
  <dcterms:modified xsi:type="dcterms:W3CDTF">2019-05-26T15:59:00Z</dcterms:modified>
</cp:coreProperties>
</file>