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750" w:rsidRPr="009D4F46" w:rsidRDefault="00722CA0" w:rsidP="00722CA0">
      <w:pPr>
        <w:spacing w:line="360" w:lineRule="auto"/>
        <w:jc w:val="center"/>
        <w:rPr>
          <w:rFonts w:ascii="Garamond" w:hAnsi="Garamond" w:cs="Times New Roman"/>
          <w:b/>
          <w:sz w:val="24"/>
          <w:szCs w:val="24"/>
        </w:rPr>
      </w:pPr>
      <w:bookmarkStart w:id="0" w:name="_GoBack"/>
      <w:bookmarkEnd w:id="0"/>
      <w:r w:rsidRPr="009D4F46">
        <w:rPr>
          <w:rFonts w:ascii="Garamond" w:hAnsi="Garamond" w:cs="Times New Roman"/>
          <w:b/>
          <w:sz w:val="24"/>
          <w:szCs w:val="24"/>
        </w:rPr>
        <w:t>HIJRAH ISLAMI MILENIAL BERDASARKAN PARADIGMA BERORIENTASI IDENTITAS</w:t>
      </w:r>
    </w:p>
    <w:p w:rsidR="00D13750" w:rsidRPr="009D4F46" w:rsidRDefault="00D13750" w:rsidP="00722CA0">
      <w:pPr>
        <w:spacing w:after="0" w:line="360" w:lineRule="auto"/>
        <w:jc w:val="center"/>
        <w:rPr>
          <w:rFonts w:ascii="Garamond" w:hAnsi="Garamond" w:cs="Times New Roman"/>
          <w:b/>
          <w:sz w:val="24"/>
          <w:szCs w:val="24"/>
          <w:vertAlign w:val="superscript"/>
        </w:rPr>
      </w:pPr>
      <w:r w:rsidRPr="009D4F46">
        <w:rPr>
          <w:rFonts w:ascii="Garamond" w:hAnsi="Garamond" w:cs="Times New Roman"/>
          <w:b/>
          <w:sz w:val="24"/>
          <w:szCs w:val="24"/>
        </w:rPr>
        <w:t>Suci Wahyu Fajriani</w:t>
      </w:r>
      <w:r w:rsidRPr="009D4F46">
        <w:rPr>
          <w:rFonts w:ascii="Garamond" w:hAnsi="Garamond" w:cs="Times New Roman"/>
          <w:b/>
          <w:sz w:val="24"/>
          <w:szCs w:val="24"/>
          <w:vertAlign w:val="superscript"/>
        </w:rPr>
        <w:t>1</w:t>
      </w:r>
      <w:r w:rsidR="00D4130B" w:rsidRPr="009D4F46">
        <w:rPr>
          <w:rFonts w:ascii="Garamond" w:hAnsi="Garamond" w:cs="Times New Roman"/>
          <w:b/>
          <w:sz w:val="24"/>
          <w:szCs w:val="24"/>
        </w:rPr>
        <w:t>, Yogi Suprayogi Sugandi</w:t>
      </w:r>
      <w:r w:rsidR="00D4130B" w:rsidRPr="009D4F46">
        <w:rPr>
          <w:rFonts w:ascii="Garamond" w:hAnsi="Garamond" w:cs="Times New Roman"/>
          <w:b/>
          <w:sz w:val="24"/>
          <w:szCs w:val="24"/>
          <w:vertAlign w:val="superscript"/>
        </w:rPr>
        <w:t>2</w:t>
      </w:r>
    </w:p>
    <w:p w:rsidR="00D13750" w:rsidRPr="009D4F46" w:rsidRDefault="00D13750" w:rsidP="00722CA0">
      <w:pPr>
        <w:spacing w:after="0" w:line="360" w:lineRule="auto"/>
        <w:jc w:val="center"/>
        <w:rPr>
          <w:rFonts w:ascii="Garamond" w:hAnsi="Garamond" w:cs="Times New Roman"/>
          <w:sz w:val="24"/>
          <w:szCs w:val="24"/>
        </w:rPr>
      </w:pPr>
      <w:r w:rsidRPr="009D4F46">
        <w:rPr>
          <w:rFonts w:ascii="Garamond" w:hAnsi="Garamond" w:cs="Times New Roman"/>
          <w:sz w:val="24"/>
          <w:szCs w:val="24"/>
          <w:vertAlign w:val="superscript"/>
        </w:rPr>
        <w:t xml:space="preserve">1 </w:t>
      </w:r>
      <w:r w:rsidR="00967926" w:rsidRPr="009D4F46">
        <w:rPr>
          <w:rFonts w:ascii="Garamond" w:hAnsi="Garamond" w:cs="Times New Roman"/>
          <w:sz w:val="24"/>
          <w:szCs w:val="24"/>
        </w:rPr>
        <w:t xml:space="preserve">Mahasiswa </w:t>
      </w:r>
      <w:r w:rsidRPr="009D4F46">
        <w:rPr>
          <w:rFonts w:ascii="Garamond" w:hAnsi="Garamond" w:cs="Times New Roman"/>
          <w:sz w:val="24"/>
          <w:szCs w:val="24"/>
        </w:rPr>
        <w:t xml:space="preserve">Magister </w:t>
      </w:r>
      <w:r w:rsidR="009D739C" w:rsidRPr="009D4F46">
        <w:rPr>
          <w:rFonts w:ascii="Garamond" w:hAnsi="Garamond" w:cs="Times New Roman"/>
          <w:sz w:val="24"/>
          <w:szCs w:val="24"/>
        </w:rPr>
        <w:t xml:space="preserve">Program Studi </w:t>
      </w:r>
      <w:r w:rsidRPr="009D4F46">
        <w:rPr>
          <w:rFonts w:ascii="Garamond" w:hAnsi="Garamond" w:cs="Times New Roman"/>
          <w:sz w:val="24"/>
          <w:szCs w:val="24"/>
        </w:rPr>
        <w:t>Sosiologi, Universitas Padjadjaran, Indonesia</w:t>
      </w:r>
    </w:p>
    <w:p w:rsidR="00D4130B" w:rsidRPr="009D4F46" w:rsidRDefault="00D4130B" w:rsidP="00722CA0">
      <w:pPr>
        <w:spacing w:after="0" w:line="360" w:lineRule="auto"/>
        <w:jc w:val="center"/>
        <w:rPr>
          <w:rFonts w:ascii="Garamond" w:hAnsi="Garamond" w:cs="Times New Roman"/>
          <w:sz w:val="24"/>
          <w:szCs w:val="24"/>
        </w:rPr>
      </w:pPr>
      <w:proofErr w:type="gramStart"/>
      <w:r w:rsidRPr="009D4F46">
        <w:rPr>
          <w:rFonts w:ascii="Garamond" w:hAnsi="Garamond" w:cs="Times New Roman"/>
          <w:sz w:val="24"/>
          <w:szCs w:val="24"/>
          <w:vertAlign w:val="superscript"/>
        </w:rPr>
        <w:t>2</w:t>
      </w:r>
      <w:r w:rsidR="00967926" w:rsidRPr="009D4F46">
        <w:rPr>
          <w:rFonts w:ascii="Garamond" w:hAnsi="Garamond" w:cs="Times New Roman"/>
          <w:sz w:val="24"/>
          <w:szCs w:val="24"/>
        </w:rPr>
        <w:t xml:space="preserve"> Fakultas Ilmu Sosial dan Politik</w:t>
      </w:r>
      <w:r w:rsidRPr="009D4F46">
        <w:rPr>
          <w:rFonts w:ascii="Garamond" w:hAnsi="Garamond" w:cs="Times New Roman"/>
          <w:sz w:val="24"/>
          <w:szCs w:val="24"/>
        </w:rPr>
        <w:t xml:space="preserve">, </w:t>
      </w:r>
      <w:r w:rsidR="00967926" w:rsidRPr="009D4F46">
        <w:rPr>
          <w:rFonts w:ascii="Garamond" w:hAnsi="Garamond" w:cs="Times New Roman"/>
          <w:sz w:val="24"/>
          <w:szCs w:val="24"/>
        </w:rPr>
        <w:t xml:space="preserve">Universitas Padjadjaran, </w:t>
      </w:r>
      <w:r w:rsidRPr="009D4F46">
        <w:rPr>
          <w:rFonts w:ascii="Garamond" w:hAnsi="Garamond" w:cs="Times New Roman"/>
          <w:sz w:val="24"/>
          <w:szCs w:val="24"/>
        </w:rPr>
        <w:t>Indonesia</w:t>
      </w:r>
      <w:proofErr w:type="gramEnd"/>
    </w:p>
    <w:p w:rsidR="00D4130B" w:rsidRPr="009D4F46" w:rsidRDefault="003279FD" w:rsidP="00111876">
      <w:pPr>
        <w:spacing w:line="360" w:lineRule="auto"/>
        <w:jc w:val="center"/>
        <w:rPr>
          <w:rStyle w:val="Hyperlink"/>
          <w:rFonts w:ascii="Garamond" w:hAnsi="Garamond" w:cs="Times New Roman"/>
          <w:color w:val="000000" w:themeColor="text1"/>
          <w:sz w:val="24"/>
          <w:szCs w:val="24"/>
          <w:u w:val="none"/>
          <w:vertAlign w:val="superscript"/>
        </w:rPr>
      </w:pPr>
      <w:hyperlink r:id="rId9" w:history="1">
        <w:r w:rsidR="008526A6" w:rsidRPr="009D4F46">
          <w:rPr>
            <w:rStyle w:val="Hyperlink"/>
            <w:rFonts w:ascii="Garamond" w:hAnsi="Garamond" w:cs="Times New Roman"/>
            <w:sz w:val="24"/>
            <w:szCs w:val="24"/>
          </w:rPr>
          <w:t>suci18011@mail.unpad.ac.id</w:t>
        </w:r>
        <w:r w:rsidR="008526A6" w:rsidRPr="009D4F46">
          <w:rPr>
            <w:rStyle w:val="Hyperlink"/>
            <w:rFonts w:ascii="Garamond" w:hAnsi="Garamond" w:cs="Times New Roman"/>
            <w:color w:val="000000" w:themeColor="text1"/>
            <w:sz w:val="24"/>
            <w:szCs w:val="24"/>
            <w:u w:val="none"/>
            <w:vertAlign w:val="superscript"/>
          </w:rPr>
          <w:t>1</w:t>
        </w:r>
      </w:hyperlink>
      <w:r w:rsidR="00967926" w:rsidRPr="009D4F46">
        <w:rPr>
          <w:rStyle w:val="Hyperlink"/>
          <w:rFonts w:ascii="Garamond" w:hAnsi="Garamond" w:cs="Times New Roman"/>
          <w:color w:val="000000" w:themeColor="text1"/>
          <w:sz w:val="24"/>
          <w:szCs w:val="24"/>
          <w:u w:val="none"/>
        </w:rPr>
        <w:t xml:space="preserve">, </w:t>
      </w:r>
      <w:hyperlink r:id="rId10" w:history="1">
        <w:r w:rsidR="00967926" w:rsidRPr="009D4F46">
          <w:rPr>
            <w:rStyle w:val="Hyperlink"/>
            <w:rFonts w:ascii="Garamond" w:hAnsi="Garamond" w:cs="Times New Roman"/>
            <w:sz w:val="24"/>
            <w:szCs w:val="24"/>
          </w:rPr>
          <w:t>yogi.suprayogi@unpad.ac.id</w:t>
        </w:r>
      </w:hyperlink>
      <w:r w:rsidR="00967926" w:rsidRPr="009D4F46">
        <w:rPr>
          <w:rStyle w:val="Hyperlink"/>
          <w:rFonts w:ascii="Garamond" w:hAnsi="Garamond" w:cs="Times New Roman"/>
          <w:color w:val="000000" w:themeColor="text1"/>
          <w:sz w:val="24"/>
          <w:szCs w:val="24"/>
          <w:u w:val="none"/>
          <w:vertAlign w:val="superscript"/>
        </w:rPr>
        <w:t>2</w:t>
      </w:r>
    </w:p>
    <w:p w:rsidR="003F14DF" w:rsidRPr="009D4F46" w:rsidRDefault="00BB4CE1" w:rsidP="003F14DF">
      <w:pPr>
        <w:spacing w:after="0" w:line="360" w:lineRule="auto"/>
        <w:jc w:val="center"/>
        <w:rPr>
          <w:rFonts w:ascii="Garamond" w:hAnsi="Garamond" w:cs="Times New Roman"/>
          <w:b/>
          <w:sz w:val="24"/>
          <w:szCs w:val="24"/>
        </w:rPr>
      </w:pPr>
      <w:r w:rsidRPr="009D4F46">
        <w:rPr>
          <w:rFonts w:ascii="Garamond" w:hAnsi="Garamond" w:cs="Times New Roman"/>
          <w:b/>
          <w:sz w:val="24"/>
          <w:szCs w:val="24"/>
        </w:rPr>
        <w:t>ABSTRAK</w:t>
      </w:r>
    </w:p>
    <w:p w:rsidR="00BB4CE1" w:rsidRPr="009D4F46" w:rsidRDefault="007E76CB" w:rsidP="002F5DA5">
      <w:pPr>
        <w:spacing w:after="0" w:line="240" w:lineRule="auto"/>
        <w:jc w:val="both"/>
        <w:rPr>
          <w:rFonts w:ascii="Garamond" w:hAnsi="Garamond" w:cs="Times New Roman"/>
          <w:sz w:val="24"/>
          <w:szCs w:val="24"/>
        </w:rPr>
      </w:pPr>
      <w:proofErr w:type="gramStart"/>
      <w:r w:rsidRPr="009D4F46">
        <w:rPr>
          <w:rFonts w:ascii="Garamond" w:hAnsi="Garamond" w:cs="Times New Roman"/>
          <w:sz w:val="24"/>
          <w:szCs w:val="24"/>
        </w:rPr>
        <w:t xml:space="preserve">Tujuan </w:t>
      </w:r>
      <w:r w:rsidR="00794289" w:rsidRPr="009D4F46">
        <w:rPr>
          <w:rFonts w:ascii="Garamond" w:hAnsi="Garamond" w:cs="Times New Roman"/>
          <w:sz w:val="24"/>
          <w:szCs w:val="24"/>
        </w:rPr>
        <w:t>pen</w:t>
      </w:r>
      <w:r w:rsidR="00CD5CE2" w:rsidRPr="009D4F46">
        <w:rPr>
          <w:rFonts w:ascii="Garamond" w:hAnsi="Garamond" w:cs="Times New Roman"/>
          <w:sz w:val="24"/>
          <w:szCs w:val="24"/>
        </w:rPr>
        <w:t>elitian adalah mendeskripsikan perkembangan</w:t>
      </w:r>
      <w:r w:rsidR="00794289" w:rsidRPr="009D4F46">
        <w:rPr>
          <w:rFonts w:ascii="Garamond" w:hAnsi="Garamond" w:cs="Times New Roman"/>
          <w:sz w:val="24"/>
          <w:szCs w:val="24"/>
        </w:rPr>
        <w:t xml:space="preserve"> hijrah islami </w:t>
      </w:r>
      <w:r w:rsidR="00BB4CE1" w:rsidRPr="009D4F46">
        <w:rPr>
          <w:rFonts w:ascii="Garamond" w:hAnsi="Garamond" w:cs="Times New Roman"/>
          <w:sz w:val="24"/>
          <w:szCs w:val="24"/>
        </w:rPr>
        <w:t>pada masyarakat milenial, dengan mencerminkan perubahan diri ke arah yang lebih baik berlandaskan ajaran agama Islam.</w:t>
      </w:r>
      <w:proofErr w:type="gramEnd"/>
      <w:r w:rsidR="00BB4CE1" w:rsidRPr="009D4F46">
        <w:rPr>
          <w:rFonts w:ascii="Garamond" w:hAnsi="Garamond" w:cs="Times New Roman"/>
          <w:sz w:val="24"/>
          <w:szCs w:val="24"/>
        </w:rPr>
        <w:t xml:space="preserve"> </w:t>
      </w:r>
      <w:proofErr w:type="gramStart"/>
      <w:r w:rsidR="00D4130B" w:rsidRPr="009D4F46">
        <w:rPr>
          <w:rFonts w:ascii="Garamond" w:hAnsi="Garamond" w:cs="Times New Roman"/>
          <w:sz w:val="24"/>
          <w:szCs w:val="24"/>
        </w:rPr>
        <w:t xml:space="preserve">Metode penelitian </w:t>
      </w:r>
      <w:r w:rsidR="00CD5CE2" w:rsidRPr="009D4F46">
        <w:rPr>
          <w:rFonts w:ascii="Garamond" w:hAnsi="Garamond" w:cs="Times New Roman"/>
          <w:sz w:val="24"/>
          <w:szCs w:val="24"/>
        </w:rPr>
        <w:t>menggunakan pendekatan studi kepustakaan dengan mengumpula</w:t>
      </w:r>
      <w:r w:rsidR="00DE23EB" w:rsidRPr="009D4F46">
        <w:rPr>
          <w:rFonts w:ascii="Garamond" w:hAnsi="Garamond" w:cs="Times New Roman"/>
          <w:sz w:val="24"/>
          <w:szCs w:val="24"/>
        </w:rPr>
        <w:t>\</w:t>
      </w:r>
      <w:r w:rsidR="00CD5CE2" w:rsidRPr="009D4F46">
        <w:rPr>
          <w:rFonts w:ascii="Garamond" w:hAnsi="Garamond" w:cs="Times New Roman"/>
          <w:sz w:val="24"/>
          <w:szCs w:val="24"/>
        </w:rPr>
        <w:t>k</w:t>
      </w:r>
      <w:r w:rsidR="00466267" w:rsidRPr="009D4F46">
        <w:rPr>
          <w:rFonts w:ascii="Garamond" w:hAnsi="Garamond" w:cs="Times New Roman"/>
          <w:sz w:val="24"/>
          <w:szCs w:val="24"/>
        </w:rPr>
        <w:t>a</w:t>
      </w:r>
      <w:r w:rsidR="00CD5CE2" w:rsidRPr="009D4F46">
        <w:rPr>
          <w:rFonts w:ascii="Garamond" w:hAnsi="Garamond" w:cs="Times New Roman"/>
          <w:sz w:val="24"/>
          <w:szCs w:val="24"/>
        </w:rPr>
        <w:t>n informasi dari jurnal, buku, dokumen elektronik, dan berita online.</w:t>
      </w:r>
      <w:proofErr w:type="gramEnd"/>
      <w:r w:rsidR="00CD5CE2" w:rsidRPr="009D4F46">
        <w:rPr>
          <w:rFonts w:ascii="Garamond" w:hAnsi="Garamond" w:cs="Times New Roman"/>
          <w:sz w:val="24"/>
          <w:szCs w:val="24"/>
        </w:rPr>
        <w:t xml:space="preserve"> </w:t>
      </w:r>
      <w:proofErr w:type="gramStart"/>
      <w:r w:rsidR="00BB4CE1" w:rsidRPr="009D4F46">
        <w:rPr>
          <w:rFonts w:ascii="Garamond" w:hAnsi="Garamond" w:cs="Times New Roman"/>
          <w:sz w:val="24"/>
          <w:szCs w:val="24"/>
        </w:rPr>
        <w:t xml:space="preserve">Hijrah </w:t>
      </w:r>
      <w:r w:rsidR="00DE23EB" w:rsidRPr="009D4F46">
        <w:rPr>
          <w:rFonts w:ascii="Garamond" w:hAnsi="Garamond" w:cs="Times New Roman"/>
          <w:sz w:val="24"/>
          <w:szCs w:val="24"/>
        </w:rPr>
        <w:t xml:space="preserve">Islami </w:t>
      </w:r>
      <w:r w:rsidR="00BB4CE1" w:rsidRPr="009D4F46">
        <w:rPr>
          <w:rFonts w:ascii="Garamond" w:hAnsi="Garamond" w:cs="Times New Roman"/>
          <w:sz w:val="24"/>
          <w:szCs w:val="24"/>
        </w:rPr>
        <w:t xml:space="preserve">menjadi gerakan sosial baru di masyarakat, </w:t>
      </w:r>
      <w:r w:rsidR="00DE23EB" w:rsidRPr="009D4F46">
        <w:rPr>
          <w:rFonts w:ascii="Garamond" w:hAnsi="Garamond" w:cs="Times New Roman"/>
          <w:sz w:val="24"/>
          <w:szCs w:val="24"/>
        </w:rPr>
        <w:t xml:space="preserve">paradigma </w:t>
      </w:r>
      <w:r w:rsidR="007C02F9" w:rsidRPr="009D4F46">
        <w:rPr>
          <w:rFonts w:ascii="Garamond" w:hAnsi="Garamond" w:cs="Times New Roman"/>
          <w:sz w:val="24"/>
          <w:szCs w:val="24"/>
        </w:rPr>
        <w:t xml:space="preserve">berorientasi identitas </w:t>
      </w:r>
      <w:r w:rsidR="00DE23EB" w:rsidRPr="009D4F46">
        <w:rPr>
          <w:rFonts w:ascii="Garamond" w:hAnsi="Garamond" w:cs="Times New Roman"/>
          <w:sz w:val="24"/>
          <w:szCs w:val="24"/>
        </w:rPr>
        <w:t>sebagai analisis</w:t>
      </w:r>
      <w:r w:rsidR="007C02F9" w:rsidRPr="009D4F46">
        <w:rPr>
          <w:rFonts w:ascii="Garamond" w:hAnsi="Garamond" w:cs="Times New Roman"/>
          <w:sz w:val="24"/>
          <w:szCs w:val="24"/>
        </w:rPr>
        <w:t xml:space="preserve"> penelitian</w:t>
      </w:r>
      <w:r w:rsidR="00DE23EB" w:rsidRPr="009D4F46">
        <w:rPr>
          <w:rFonts w:ascii="Garamond" w:hAnsi="Garamond" w:cs="Times New Roman"/>
          <w:sz w:val="24"/>
          <w:szCs w:val="24"/>
        </w:rPr>
        <w:t xml:space="preserve">, </w:t>
      </w:r>
      <w:r w:rsidR="00BB4CE1" w:rsidRPr="009D4F46">
        <w:rPr>
          <w:rFonts w:ascii="Garamond" w:hAnsi="Garamond" w:cs="Times New Roman"/>
          <w:sz w:val="24"/>
          <w:szCs w:val="24"/>
        </w:rPr>
        <w:t xml:space="preserve">karena </w:t>
      </w:r>
      <w:r w:rsidR="00BB4CE1" w:rsidRPr="009D4F46">
        <w:rPr>
          <w:rFonts w:ascii="Garamond" w:eastAsia="Times New Roman" w:hAnsi="Garamond" w:cs="Times New Roman"/>
          <w:sz w:val="24"/>
          <w:szCs w:val="24"/>
        </w:rPr>
        <w:t>menitikberatkan pada keterlibatan para aktor dan aksi kolektif.</w:t>
      </w:r>
      <w:proofErr w:type="gramEnd"/>
      <w:r w:rsidR="00BB4CE1" w:rsidRPr="009D4F46">
        <w:rPr>
          <w:rFonts w:ascii="Garamond" w:eastAsia="Times New Roman" w:hAnsi="Garamond" w:cs="Times New Roman"/>
          <w:sz w:val="24"/>
          <w:szCs w:val="24"/>
        </w:rPr>
        <w:t xml:space="preserve"> Analisis dikaji </w:t>
      </w:r>
      <w:r w:rsidR="007C02F9" w:rsidRPr="009D4F46">
        <w:rPr>
          <w:rFonts w:ascii="Garamond" w:eastAsia="Times New Roman" w:hAnsi="Garamond" w:cs="Times New Roman"/>
          <w:sz w:val="24"/>
          <w:szCs w:val="24"/>
        </w:rPr>
        <w:t xml:space="preserve">dengan </w:t>
      </w:r>
      <w:r w:rsidR="00BB4CE1" w:rsidRPr="009D4F46">
        <w:rPr>
          <w:rFonts w:ascii="Garamond" w:eastAsia="Times New Roman" w:hAnsi="Garamond" w:cs="Times New Roman"/>
          <w:sz w:val="24"/>
          <w:szCs w:val="24"/>
        </w:rPr>
        <w:t>lima kelebihan</w:t>
      </w:r>
      <w:r w:rsidR="007C02F9" w:rsidRPr="009D4F46">
        <w:rPr>
          <w:rFonts w:ascii="Garamond" w:eastAsia="Times New Roman" w:hAnsi="Garamond" w:cs="Times New Roman"/>
          <w:sz w:val="24"/>
          <w:szCs w:val="24"/>
        </w:rPr>
        <w:t xml:space="preserve"> paradigma ini, hasilnya adalah: </w:t>
      </w:r>
      <w:r w:rsidR="00BB4CE1" w:rsidRPr="009D4F46">
        <w:rPr>
          <w:rFonts w:ascii="Garamond" w:eastAsia="Times New Roman" w:hAnsi="Garamond" w:cs="Times New Roman"/>
          <w:sz w:val="24"/>
          <w:szCs w:val="24"/>
        </w:rPr>
        <w:t xml:space="preserve">(1) </w:t>
      </w:r>
      <w:r w:rsidR="007C02F9" w:rsidRPr="009D4F46">
        <w:rPr>
          <w:rFonts w:ascii="Garamond" w:hAnsi="Garamond"/>
          <w:color w:val="000000" w:themeColor="text1"/>
          <w:sz w:val="24"/>
          <w:szCs w:val="24"/>
        </w:rPr>
        <w:t xml:space="preserve">Ekspresi kuat terjadi </w:t>
      </w:r>
      <w:r w:rsidR="00BB4CE1" w:rsidRPr="009D4F46">
        <w:rPr>
          <w:rFonts w:ascii="Garamond" w:hAnsi="Garamond"/>
          <w:color w:val="000000" w:themeColor="text1"/>
          <w:sz w:val="24"/>
          <w:szCs w:val="24"/>
        </w:rPr>
        <w:t xml:space="preserve">pada </w:t>
      </w:r>
      <w:r w:rsidR="003F14DF" w:rsidRPr="009D4F46">
        <w:rPr>
          <w:rFonts w:ascii="Garamond" w:hAnsi="Garamond"/>
          <w:color w:val="000000" w:themeColor="text1"/>
          <w:sz w:val="24"/>
          <w:szCs w:val="24"/>
        </w:rPr>
        <w:t xml:space="preserve">artis yang </w:t>
      </w:r>
      <w:r w:rsidR="007C02F9" w:rsidRPr="009D4F46">
        <w:rPr>
          <w:rFonts w:ascii="Garamond" w:hAnsi="Garamond"/>
          <w:color w:val="000000" w:themeColor="text1"/>
          <w:sz w:val="24"/>
          <w:szCs w:val="24"/>
        </w:rPr>
        <w:t xml:space="preserve">melakukan </w:t>
      </w:r>
      <w:r w:rsidR="003F14DF" w:rsidRPr="009D4F46">
        <w:rPr>
          <w:rFonts w:ascii="Garamond" w:hAnsi="Garamond"/>
          <w:color w:val="000000" w:themeColor="text1"/>
          <w:sz w:val="24"/>
          <w:szCs w:val="24"/>
        </w:rPr>
        <w:t xml:space="preserve">hijrah, pelaku ekonomi di bidang pakaian muslim meningkat, kajian-kajian hijrah islami diperoleh dari media </w:t>
      </w:r>
      <w:r w:rsidR="00DA054C" w:rsidRPr="009D4F46">
        <w:rPr>
          <w:rFonts w:ascii="Garamond" w:hAnsi="Garamond"/>
          <w:color w:val="000000" w:themeColor="text1"/>
          <w:sz w:val="24"/>
          <w:szCs w:val="24"/>
        </w:rPr>
        <w:t>sosial</w:t>
      </w:r>
      <w:r w:rsidR="007C02F9" w:rsidRPr="009D4F46">
        <w:rPr>
          <w:rFonts w:ascii="Garamond" w:hAnsi="Garamond"/>
          <w:color w:val="000000" w:themeColor="text1"/>
          <w:sz w:val="24"/>
          <w:szCs w:val="24"/>
        </w:rPr>
        <w:t>;</w:t>
      </w:r>
      <w:r w:rsidR="003F14DF" w:rsidRPr="009D4F46">
        <w:rPr>
          <w:rFonts w:ascii="Garamond" w:hAnsi="Garamond"/>
          <w:color w:val="000000" w:themeColor="text1"/>
          <w:sz w:val="24"/>
          <w:szCs w:val="24"/>
        </w:rPr>
        <w:t xml:space="preserve"> (2) Ekspresi hijrah islami</w:t>
      </w:r>
      <w:r w:rsidR="002F5DA5" w:rsidRPr="009D4F46">
        <w:rPr>
          <w:rFonts w:ascii="Garamond" w:hAnsi="Garamond"/>
          <w:color w:val="000000" w:themeColor="text1"/>
          <w:sz w:val="24"/>
          <w:szCs w:val="24"/>
        </w:rPr>
        <w:t xml:space="preserve"> milineal</w:t>
      </w:r>
      <w:r w:rsidR="003F14DF" w:rsidRPr="009D4F46">
        <w:rPr>
          <w:rFonts w:ascii="Garamond" w:hAnsi="Garamond"/>
          <w:color w:val="000000" w:themeColor="text1"/>
          <w:sz w:val="24"/>
          <w:szCs w:val="24"/>
        </w:rPr>
        <w:t>, terlihat pada gagasan yang maju, pola</w:t>
      </w:r>
      <w:r w:rsidR="00DA054C" w:rsidRPr="009D4F46">
        <w:rPr>
          <w:rFonts w:ascii="Garamond" w:hAnsi="Garamond"/>
          <w:color w:val="000000" w:themeColor="text1"/>
          <w:sz w:val="24"/>
          <w:szCs w:val="24"/>
        </w:rPr>
        <w:t xml:space="preserve"> pikir lebih kritis dan terbuka</w:t>
      </w:r>
      <w:r w:rsidR="007C02F9" w:rsidRPr="009D4F46">
        <w:rPr>
          <w:rFonts w:ascii="Garamond" w:hAnsi="Garamond"/>
          <w:color w:val="000000" w:themeColor="text1"/>
          <w:sz w:val="24"/>
          <w:szCs w:val="24"/>
        </w:rPr>
        <w:t>;</w:t>
      </w:r>
      <w:r w:rsidR="003F14DF" w:rsidRPr="009D4F46">
        <w:rPr>
          <w:rFonts w:ascii="Garamond" w:hAnsi="Garamond" w:cs="Times New Roman"/>
          <w:sz w:val="24"/>
          <w:szCs w:val="24"/>
        </w:rPr>
        <w:t xml:space="preserve"> (3) </w:t>
      </w:r>
      <w:r w:rsidR="003F14DF" w:rsidRPr="009D4F46">
        <w:rPr>
          <w:rFonts w:ascii="Garamond" w:hAnsi="Garamond"/>
          <w:color w:val="000000" w:themeColor="text1"/>
          <w:sz w:val="24"/>
          <w:szCs w:val="24"/>
        </w:rPr>
        <w:t xml:space="preserve">Perilaku ekspresif </w:t>
      </w:r>
      <w:r w:rsidR="002F5DA5" w:rsidRPr="009D4F46">
        <w:rPr>
          <w:rFonts w:ascii="Garamond" w:hAnsi="Garamond"/>
          <w:color w:val="000000" w:themeColor="text1"/>
          <w:sz w:val="24"/>
          <w:szCs w:val="24"/>
        </w:rPr>
        <w:t xml:space="preserve">dengan </w:t>
      </w:r>
      <w:r w:rsidR="003F14DF" w:rsidRPr="009D4F46">
        <w:rPr>
          <w:rFonts w:ascii="Garamond" w:hAnsi="Garamond"/>
          <w:color w:val="000000" w:themeColor="text1"/>
          <w:sz w:val="24"/>
          <w:szCs w:val="24"/>
        </w:rPr>
        <w:t>mengiku</w:t>
      </w:r>
      <w:r w:rsidR="00DA054C" w:rsidRPr="009D4F46">
        <w:rPr>
          <w:rFonts w:ascii="Garamond" w:hAnsi="Garamond"/>
          <w:color w:val="000000" w:themeColor="text1"/>
          <w:sz w:val="24"/>
          <w:szCs w:val="24"/>
        </w:rPr>
        <w:t>ti berbagai kajian-kajian islam</w:t>
      </w:r>
      <w:r w:rsidR="007C02F9" w:rsidRPr="009D4F46">
        <w:rPr>
          <w:rFonts w:ascii="Garamond" w:hAnsi="Garamond"/>
          <w:color w:val="000000" w:themeColor="text1"/>
          <w:sz w:val="24"/>
          <w:szCs w:val="24"/>
        </w:rPr>
        <w:t>;</w:t>
      </w:r>
      <w:r w:rsidR="003F14DF" w:rsidRPr="009D4F46">
        <w:rPr>
          <w:rFonts w:ascii="Garamond" w:hAnsi="Garamond"/>
          <w:color w:val="000000" w:themeColor="text1"/>
          <w:sz w:val="24"/>
          <w:szCs w:val="24"/>
        </w:rPr>
        <w:t xml:space="preserve"> (4) Peran dan posisi aktor milenial dalam melaksanakan hijrah sebagai muslim dan muslimah se</w:t>
      </w:r>
      <w:r w:rsidR="00DA054C" w:rsidRPr="009D4F46">
        <w:rPr>
          <w:rFonts w:ascii="Garamond" w:hAnsi="Garamond"/>
          <w:color w:val="000000" w:themeColor="text1"/>
          <w:sz w:val="24"/>
          <w:szCs w:val="24"/>
        </w:rPr>
        <w:t>suai dengan ajaran agama islam</w:t>
      </w:r>
      <w:r w:rsidR="007C02F9" w:rsidRPr="009D4F46">
        <w:rPr>
          <w:rFonts w:ascii="Garamond" w:hAnsi="Garamond"/>
          <w:color w:val="000000" w:themeColor="text1"/>
          <w:sz w:val="24"/>
          <w:szCs w:val="24"/>
        </w:rPr>
        <w:t>;</w:t>
      </w:r>
      <w:r w:rsidR="00DA054C" w:rsidRPr="009D4F46">
        <w:rPr>
          <w:rFonts w:ascii="Garamond" w:hAnsi="Garamond"/>
          <w:color w:val="000000" w:themeColor="text1"/>
          <w:sz w:val="24"/>
          <w:szCs w:val="24"/>
        </w:rPr>
        <w:t xml:space="preserve"> </w:t>
      </w:r>
      <w:r w:rsidR="003F14DF" w:rsidRPr="009D4F46">
        <w:rPr>
          <w:rFonts w:ascii="Garamond" w:hAnsi="Garamond"/>
          <w:color w:val="000000" w:themeColor="text1"/>
          <w:sz w:val="24"/>
          <w:szCs w:val="24"/>
        </w:rPr>
        <w:t>(5) Menempatkan individu dalam hijrah islami ke arah tujuan hidup yang lebih baik dan terarah.</w:t>
      </w:r>
      <w:r w:rsidR="00111876" w:rsidRPr="009D4F46">
        <w:rPr>
          <w:rFonts w:ascii="Garamond" w:hAnsi="Garamond"/>
          <w:color w:val="000000" w:themeColor="text1"/>
          <w:sz w:val="24"/>
          <w:szCs w:val="24"/>
        </w:rPr>
        <w:t xml:space="preserve"> </w:t>
      </w:r>
      <w:proofErr w:type="gramStart"/>
      <w:r w:rsidR="00111876" w:rsidRPr="009D4F46">
        <w:rPr>
          <w:rFonts w:ascii="Garamond" w:hAnsi="Garamond"/>
          <w:color w:val="000000" w:themeColor="text1"/>
          <w:sz w:val="24"/>
          <w:szCs w:val="24"/>
        </w:rPr>
        <w:t xml:space="preserve">Kesimpulan, </w:t>
      </w:r>
      <w:r w:rsidR="003F14DF" w:rsidRPr="009D4F46">
        <w:rPr>
          <w:rFonts w:ascii="Garamond" w:hAnsi="Garamond"/>
          <w:color w:val="000000" w:themeColor="text1"/>
          <w:sz w:val="24"/>
          <w:szCs w:val="24"/>
        </w:rPr>
        <w:t>hijrah islami milenial merupakan gerakan sosial baru yang menjadi identitas umat Islam berdasarkan ajaran agama Islam.</w:t>
      </w:r>
      <w:proofErr w:type="gramEnd"/>
    </w:p>
    <w:p w:rsidR="003F14DF" w:rsidRPr="009D4F46" w:rsidRDefault="003F14DF" w:rsidP="003F14DF">
      <w:pPr>
        <w:spacing w:after="0" w:line="360" w:lineRule="auto"/>
        <w:jc w:val="both"/>
        <w:rPr>
          <w:rFonts w:ascii="Garamond" w:hAnsi="Garamond" w:cs="Times New Roman"/>
          <w:b/>
          <w:sz w:val="24"/>
          <w:szCs w:val="24"/>
        </w:rPr>
      </w:pPr>
    </w:p>
    <w:p w:rsidR="003F14DF" w:rsidRPr="009D4F46" w:rsidRDefault="00482BD0" w:rsidP="00111876">
      <w:pPr>
        <w:spacing w:line="360" w:lineRule="auto"/>
        <w:jc w:val="both"/>
        <w:rPr>
          <w:rFonts w:ascii="Garamond" w:hAnsi="Garamond" w:cs="Times New Roman"/>
          <w:sz w:val="24"/>
          <w:szCs w:val="24"/>
        </w:rPr>
      </w:pPr>
      <w:r w:rsidRPr="009D4F46">
        <w:rPr>
          <w:rFonts w:ascii="Garamond" w:hAnsi="Garamond" w:cs="Times New Roman"/>
          <w:sz w:val="24"/>
          <w:szCs w:val="24"/>
        </w:rPr>
        <w:t xml:space="preserve">Kata Kunci: </w:t>
      </w:r>
      <w:r w:rsidR="007E76CB" w:rsidRPr="009D4F46">
        <w:rPr>
          <w:rFonts w:ascii="Garamond" w:hAnsi="Garamond" w:cs="Times New Roman"/>
          <w:sz w:val="24"/>
          <w:szCs w:val="24"/>
        </w:rPr>
        <w:t>Hijrah, Islami, Milenial dan</w:t>
      </w:r>
      <w:r w:rsidRPr="009D4F46">
        <w:rPr>
          <w:rFonts w:ascii="Garamond" w:hAnsi="Garamond" w:cs="Times New Roman"/>
          <w:sz w:val="24"/>
          <w:szCs w:val="24"/>
        </w:rPr>
        <w:t xml:space="preserve"> Identitas</w:t>
      </w:r>
    </w:p>
    <w:p w:rsidR="003F14DF" w:rsidRPr="009D4F46" w:rsidRDefault="00722CA0" w:rsidP="00EC5F6F">
      <w:pPr>
        <w:spacing w:after="0" w:line="360" w:lineRule="auto"/>
        <w:jc w:val="center"/>
        <w:rPr>
          <w:rFonts w:ascii="Garamond" w:hAnsi="Garamond" w:cs="Times New Roman"/>
          <w:b/>
          <w:sz w:val="24"/>
          <w:szCs w:val="24"/>
        </w:rPr>
      </w:pPr>
      <w:r w:rsidRPr="009D4F46">
        <w:rPr>
          <w:rFonts w:ascii="Garamond" w:hAnsi="Garamond" w:cs="Times New Roman"/>
          <w:b/>
          <w:sz w:val="24"/>
          <w:szCs w:val="24"/>
        </w:rPr>
        <w:t>ABSTRACT</w:t>
      </w:r>
    </w:p>
    <w:p w:rsidR="003F14DF" w:rsidRPr="009D4F46" w:rsidRDefault="00EC5F6F" w:rsidP="00111876">
      <w:pPr>
        <w:spacing w:after="0" w:line="240" w:lineRule="auto"/>
        <w:jc w:val="both"/>
        <w:rPr>
          <w:rFonts w:ascii="Garamond" w:hAnsi="Garamond" w:cs="Times New Roman"/>
          <w:sz w:val="24"/>
          <w:szCs w:val="24"/>
        </w:rPr>
      </w:pPr>
      <w:r w:rsidRPr="009D4F46">
        <w:rPr>
          <w:rFonts w:ascii="Garamond" w:hAnsi="Garamond" w:cs="Times New Roman"/>
          <w:sz w:val="24"/>
          <w:szCs w:val="24"/>
        </w:rPr>
        <w:t xml:space="preserve">The purpose of this study is to describe the development of Islamic </w:t>
      </w:r>
      <w:r w:rsidR="00DE23EB" w:rsidRPr="009D4F46">
        <w:rPr>
          <w:rFonts w:ascii="Garamond" w:hAnsi="Garamond" w:cs="Times New Roman"/>
          <w:sz w:val="24"/>
          <w:szCs w:val="24"/>
        </w:rPr>
        <w:t xml:space="preserve">hijrah </w:t>
      </w:r>
      <w:r w:rsidRPr="009D4F46">
        <w:rPr>
          <w:rFonts w:ascii="Garamond" w:hAnsi="Garamond" w:cs="Times New Roman"/>
          <w:sz w:val="24"/>
          <w:szCs w:val="24"/>
        </w:rPr>
        <w:t xml:space="preserve">in millennial society, by reflecting self-change towards a better direction based on the teaching of Islam, with identity oriented. </w:t>
      </w:r>
      <w:r w:rsidR="00DE23EB" w:rsidRPr="009D4F46">
        <w:rPr>
          <w:rFonts w:ascii="Garamond" w:hAnsi="Garamond" w:cs="Times New Roman"/>
          <w:sz w:val="24"/>
          <w:szCs w:val="24"/>
        </w:rPr>
        <w:t xml:space="preserve">The research method uses the library study approach by collecting information from journalsm books, electronic documents and online news. Islamic hijrah is becoming a new social movement in the community, </w:t>
      </w:r>
      <w:r w:rsidR="007C02F9" w:rsidRPr="009D4F46">
        <w:rPr>
          <w:rFonts w:ascii="Garamond" w:hAnsi="Garamond" w:cs="Times New Roman"/>
          <w:sz w:val="24"/>
          <w:szCs w:val="24"/>
        </w:rPr>
        <w:t xml:space="preserve">an identity-oriented paradigm as a research analysis, because it focuses on the involvement of actors and collective action. The analysis was examined with five advantages of this paradigm, the result is: (1) Strong expressions occur in artists who make hijrah, economic actors in the muslim clothing sector are increasing, studies of Islamic hijrah are obtained from social media; (2) </w:t>
      </w:r>
      <w:r w:rsidR="002F5DA5" w:rsidRPr="009D4F46">
        <w:rPr>
          <w:rFonts w:ascii="Garamond" w:hAnsi="Garamond" w:cs="Times New Roman"/>
          <w:sz w:val="24"/>
          <w:szCs w:val="24"/>
        </w:rPr>
        <w:t xml:space="preserve">Expressions of millennial Islamic hijrah, seen in advanced ideas, more critical, and open mindset; (3) Expressive behaviour by participating in various studies of Islamic studies; (4) The role and position of millennial actors in carrying out hijrah as muslim in accordance with teachings of Islam; (5) </w:t>
      </w:r>
      <w:r w:rsidR="00111876" w:rsidRPr="009D4F46">
        <w:rPr>
          <w:rFonts w:ascii="Garamond" w:hAnsi="Garamond" w:cs="Times New Roman"/>
          <w:sz w:val="24"/>
          <w:szCs w:val="24"/>
        </w:rPr>
        <w:t xml:space="preserve">Placing individuals in Islamic hijrah towards better and directed life goal. Conclusion, millennial Islamic hijrah is a new social movement that becomes the identity of </w:t>
      </w:r>
      <w:proofErr w:type="gramStart"/>
      <w:r w:rsidR="00111876" w:rsidRPr="009D4F46">
        <w:rPr>
          <w:rFonts w:ascii="Garamond" w:hAnsi="Garamond" w:cs="Times New Roman"/>
          <w:sz w:val="24"/>
          <w:szCs w:val="24"/>
        </w:rPr>
        <w:t>muslims</w:t>
      </w:r>
      <w:proofErr w:type="gramEnd"/>
      <w:r w:rsidR="00111876" w:rsidRPr="009D4F46">
        <w:rPr>
          <w:rFonts w:ascii="Garamond" w:hAnsi="Garamond" w:cs="Times New Roman"/>
          <w:sz w:val="24"/>
          <w:szCs w:val="24"/>
        </w:rPr>
        <w:t xml:space="preserve"> based on the teachings of Islam.</w:t>
      </w:r>
    </w:p>
    <w:p w:rsidR="003F14DF" w:rsidRPr="009D4F46" w:rsidRDefault="003F14DF" w:rsidP="003F14DF">
      <w:pPr>
        <w:spacing w:after="0" w:line="360" w:lineRule="auto"/>
        <w:jc w:val="both"/>
        <w:rPr>
          <w:rFonts w:ascii="Garamond" w:hAnsi="Garamond" w:cs="Times New Roman"/>
          <w:b/>
          <w:sz w:val="24"/>
          <w:szCs w:val="24"/>
        </w:rPr>
      </w:pPr>
    </w:p>
    <w:p w:rsidR="00D4130B" w:rsidRDefault="00111876" w:rsidP="003F14DF">
      <w:pPr>
        <w:spacing w:after="0" w:line="360" w:lineRule="auto"/>
        <w:jc w:val="both"/>
        <w:rPr>
          <w:rFonts w:ascii="Garamond" w:hAnsi="Garamond" w:cs="Times New Roman"/>
          <w:sz w:val="24"/>
          <w:szCs w:val="24"/>
        </w:rPr>
      </w:pPr>
      <w:r w:rsidRPr="009D4F46">
        <w:rPr>
          <w:rFonts w:ascii="Garamond" w:hAnsi="Garamond" w:cs="Times New Roman"/>
          <w:sz w:val="24"/>
          <w:szCs w:val="24"/>
        </w:rPr>
        <w:t>Keywords: Hijrah, Islamic, Millennial, and Identity</w:t>
      </w:r>
    </w:p>
    <w:p w:rsidR="009D4F46" w:rsidRDefault="009D4F46" w:rsidP="003F14DF">
      <w:pPr>
        <w:spacing w:after="0" w:line="360" w:lineRule="auto"/>
        <w:jc w:val="both"/>
        <w:rPr>
          <w:rFonts w:ascii="Garamond" w:hAnsi="Garamond" w:cs="Times New Roman"/>
          <w:sz w:val="24"/>
          <w:szCs w:val="24"/>
        </w:rPr>
      </w:pPr>
    </w:p>
    <w:p w:rsidR="009D4F46" w:rsidRPr="009D4F46" w:rsidRDefault="009D4F46" w:rsidP="003F14DF">
      <w:pPr>
        <w:spacing w:after="0" w:line="360" w:lineRule="auto"/>
        <w:jc w:val="both"/>
        <w:rPr>
          <w:rFonts w:ascii="Garamond" w:hAnsi="Garamond" w:cs="Times New Roman"/>
          <w:sz w:val="24"/>
          <w:szCs w:val="24"/>
        </w:rPr>
      </w:pPr>
    </w:p>
    <w:p w:rsidR="003B244C" w:rsidRPr="009D4F46" w:rsidRDefault="008526A6" w:rsidP="008526A6">
      <w:pPr>
        <w:spacing w:after="0" w:line="360" w:lineRule="auto"/>
        <w:jc w:val="both"/>
        <w:rPr>
          <w:rFonts w:ascii="Garamond" w:hAnsi="Garamond" w:cs="Times New Roman"/>
          <w:b/>
          <w:sz w:val="24"/>
          <w:szCs w:val="24"/>
        </w:rPr>
      </w:pPr>
      <w:r w:rsidRPr="009D4F46">
        <w:rPr>
          <w:rFonts w:ascii="Garamond" w:hAnsi="Garamond" w:cs="Times New Roman"/>
          <w:b/>
          <w:sz w:val="24"/>
          <w:szCs w:val="24"/>
        </w:rPr>
        <w:lastRenderedPageBreak/>
        <w:t>PENDAHULUAN</w:t>
      </w:r>
    </w:p>
    <w:p w:rsidR="00B91E28" w:rsidRPr="009D4F46" w:rsidRDefault="003B244C" w:rsidP="00D84E24">
      <w:pPr>
        <w:spacing w:after="0" w:line="360" w:lineRule="auto"/>
        <w:ind w:firstLine="720"/>
        <w:jc w:val="both"/>
        <w:rPr>
          <w:rFonts w:ascii="Garamond" w:hAnsi="Garamond" w:cs="Times New Roman"/>
          <w:color w:val="000000" w:themeColor="text1"/>
          <w:sz w:val="24"/>
          <w:szCs w:val="24"/>
        </w:rPr>
      </w:pPr>
      <w:proofErr w:type="gramStart"/>
      <w:r w:rsidRPr="009D4F46">
        <w:rPr>
          <w:rFonts w:ascii="Garamond" w:hAnsi="Garamond" w:cs="Times New Roman"/>
          <w:color w:val="000000" w:themeColor="text1"/>
          <w:sz w:val="24"/>
          <w:szCs w:val="24"/>
        </w:rPr>
        <w:t>Fenomena merupakan suatu hal yang terjadi di kalangan masyarakat yang biasanya memiliki dampak besar dan banyak individu-individu yang mengikutinya.</w:t>
      </w:r>
      <w:proofErr w:type="gramEnd"/>
      <w:r w:rsidRPr="009D4F46">
        <w:rPr>
          <w:rFonts w:ascii="Garamond" w:hAnsi="Garamond" w:cs="Times New Roman"/>
          <w:color w:val="000000" w:themeColor="text1"/>
          <w:sz w:val="24"/>
          <w:szCs w:val="24"/>
        </w:rPr>
        <w:t xml:space="preserve"> </w:t>
      </w:r>
      <w:proofErr w:type="gramStart"/>
      <w:r w:rsidRPr="009D4F46">
        <w:rPr>
          <w:rFonts w:ascii="Garamond" w:hAnsi="Garamond" w:cs="Times New Roman"/>
          <w:color w:val="000000" w:themeColor="text1"/>
          <w:sz w:val="24"/>
          <w:szCs w:val="24"/>
        </w:rPr>
        <w:t>Hijrah adalah berpindahnya suatu individu ataupun kelompok ke arah yang lebih baik.</w:t>
      </w:r>
      <w:proofErr w:type="gramEnd"/>
      <w:r w:rsidRPr="009D4F46">
        <w:rPr>
          <w:rFonts w:ascii="Garamond" w:hAnsi="Garamond" w:cs="Times New Roman"/>
          <w:color w:val="000000" w:themeColor="text1"/>
          <w:sz w:val="24"/>
          <w:szCs w:val="24"/>
        </w:rPr>
        <w:t xml:space="preserve"> </w:t>
      </w:r>
      <w:proofErr w:type="gramStart"/>
      <w:r w:rsidRPr="009D4F46">
        <w:rPr>
          <w:rFonts w:ascii="Garamond" w:hAnsi="Garamond" w:cs="Times New Roman"/>
          <w:color w:val="000000" w:themeColor="text1"/>
          <w:sz w:val="24"/>
          <w:szCs w:val="24"/>
        </w:rPr>
        <w:t>Dalam konteks Islam, hijrah diartikan sebagai berpindahnya individu ataupun kelompok ke arah yang lebih baik berdasarkan agama Islam.</w:t>
      </w:r>
      <w:proofErr w:type="gramEnd"/>
      <w:r w:rsidRPr="009D4F46">
        <w:rPr>
          <w:rFonts w:ascii="Garamond" w:hAnsi="Garamond" w:cs="Times New Roman"/>
          <w:color w:val="000000" w:themeColor="text1"/>
          <w:sz w:val="24"/>
          <w:szCs w:val="24"/>
        </w:rPr>
        <w:t xml:space="preserve"> </w:t>
      </w:r>
      <w:proofErr w:type="gramStart"/>
      <w:r w:rsidRPr="009D4F46">
        <w:rPr>
          <w:rFonts w:ascii="Garamond" w:hAnsi="Garamond" w:cs="Times New Roman"/>
          <w:color w:val="000000" w:themeColor="text1"/>
          <w:sz w:val="24"/>
          <w:szCs w:val="24"/>
        </w:rPr>
        <w:t xml:space="preserve">Fenomena hijrah </w:t>
      </w:r>
      <w:r w:rsidR="002B6480" w:rsidRPr="009D4F46">
        <w:rPr>
          <w:rFonts w:ascii="Garamond" w:hAnsi="Garamond" w:cs="Times New Roman"/>
          <w:color w:val="000000" w:themeColor="text1"/>
          <w:sz w:val="24"/>
          <w:szCs w:val="24"/>
        </w:rPr>
        <w:t xml:space="preserve">islami </w:t>
      </w:r>
      <w:r w:rsidR="00071A89" w:rsidRPr="009D4F46">
        <w:rPr>
          <w:rFonts w:ascii="Garamond" w:hAnsi="Garamond" w:cs="Times New Roman"/>
          <w:color w:val="000000" w:themeColor="text1"/>
          <w:sz w:val="24"/>
          <w:szCs w:val="24"/>
        </w:rPr>
        <w:t xml:space="preserve">banyak terjadi pada masyarakat milenial yang </w:t>
      </w:r>
      <w:r w:rsidRPr="009D4F46">
        <w:rPr>
          <w:rFonts w:ascii="Garamond" w:hAnsi="Garamond" w:cs="Times New Roman"/>
          <w:color w:val="000000" w:themeColor="text1"/>
          <w:sz w:val="24"/>
          <w:szCs w:val="24"/>
        </w:rPr>
        <w:t>berkembang sangat besar di Indonesia, yang disebabkan oleh adanya keinginan individu atau kelompok untuk menjadi pribadi yang lebih baik lagi dari sisi agama Is</w:t>
      </w:r>
      <w:r w:rsidR="00071A89" w:rsidRPr="009D4F46">
        <w:rPr>
          <w:rFonts w:ascii="Garamond" w:hAnsi="Garamond" w:cs="Times New Roman"/>
          <w:color w:val="000000" w:themeColor="text1"/>
          <w:sz w:val="24"/>
          <w:szCs w:val="24"/>
        </w:rPr>
        <w:t>lam.</w:t>
      </w:r>
      <w:proofErr w:type="gramEnd"/>
    </w:p>
    <w:p w:rsidR="0018038B" w:rsidRPr="009D4F46" w:rsidRDefault="0018038B" w:rsidP="00B91E28">
      <w:pPr>
        <w:spacing w:after="0" w:line="360" w:lineRule="auto"/>
        <w:ind w:firstLine="720"/>
        <w:jc w:val="both"/>
        <w:rPr>
          <w:rFonts w:ascii="Garamond" w:hAnsi="Garamond" w:cs="Times New Roman"/>
          <w:color w:val="000000" w:themeColor="text1"/>
          <w:sz w:val="24"/>
          <w:szCs w:val="24"/>
        </w:rPr>
      </w:pPr>
      <w:r w:rsidRPr="009D4F46">
        <w:rPr>
          <w:rFonts w:ascii="Garamond" w:hAnsi="Garamond" w:cs="Times New Roman"/>
          <w:color w:val="000000" w:themeColor="text1"/>
          <w:sz w:val="24"/>
          <w:szCs w:val="24"/>
        </w:rPr>
        <w:t xml:space="preserve">Berlandaskan sejarah hijrah, </w:t>
      </w:r>
      <w:r w:rsidRPr="009D4F46">
        <w:rPr>
          <w:rFonts w:ascii="Garamond" w:hAnsi="Garamond" w:cs="Times New Roman"/>
          <w:sz w:val="24"/>
          <w:szCs w:val="24"/>
        </w:rPr>
        <w:t xml:space="preserve">menurut ulama Syafi'i Al-Mawardi, setelah terjadi penaklukan Mekah oleh Nabi Muhammad dan teman-temannya, Hijrah menjadi kewajiban bagi orang-orang muslim yang tidak dapat menjalankan agama mereka. Persepsi ini menyatakan bahwa pada zaman Nabi, pelaksanaan perintah dan tugas agama adalah tujuan utama hijrah </w:t>
      </w:r>
      <w:r w:rsidRPr="009D4F46">
        <w:rPr>
          <w:rFonts w:ascii="Garamond" w:hAnsi="Garamond" w:cs="Times New Roman"/>
          <w:sz w:val="24"/>
          <w:szCs w:val="24"/>
        </w:rPr>
        <w:fldChar w:fldCharType="begin" w:fldLock="1"/>
      </w:r>
      <w:r w:rsidRPr="009D4F46">
        <w:rPr>
          <w:rFonts w:ascii="Garamond" w:hAnsi="Garamond" w:cs="Times New Roman"/>
          <w:sz w:val="24"/>
          <w:szCs w:val="24"/>
        </w:rPr>
        <w:instrText>ADDIN CSL_CITATION { "citationItems" : [ { "id" : "ITEM-1", "itemData" : { "DOI" : "10.2307/26351451", "author" : [ { "dropping-particle" : "", "family" : "Uberman, Matan &amp; Shay", "given" : "Shaul", "non-dropping-particle" : "", "parse-names" : false, "suffix" : "" } ], "id" : "ITEM-1", "issue" : "9", "issued" : { "date-parts" : [ [ "2016" ] ] }, "page" : "16-20", "title" : "Hijrah According to the Islamic State : An Analysis of Dabiq", "type" : "article-journal", "volume" : "8" }, "uris" : [ "http://www.mendeley.com/documents/?uuid=38563a07-f3b2-4864-baa4-6c3bf4e13aa6" ] } ], "mendeley" : { "formattedCitation" : "(Uberman, Matan &amp; Shay, 2016)", "plainTextFormattedCitation" : "(Uberman, Matan &amp; Shay, 2016)", "previouslyFormattedCitation" : "(Uberman, Matan &amp; Shay, 2016)" }, "properties" : {  }, "schema" : "https://github.com/citation-style-language/schema/raw/master/csl-citation.json" }</w:instrText>
      </w:r>
      <w:r w:rsidRPr="009D4F46">
        <w:rPr>
          <w:rFonts w:ascii="Garamond" w:hAnsi="Garamond" w:cs="Times New Roman"/>
          <w:sz w:val="24"/>
          <w:szCs w:val="24"/>
        </w:rPr>
        <w:fldChar w:fldCharType="separate"/>
      </w:r>
      <w:r w:rsidRPr="009D4F46">
        <w:rPr>
          <w:rFonts w:ascii="Garamond" w:hAnsi="Garamond" w:cs="Times New Roman"/>
          <w:noProof/>
          <w:sz w:val="24"/>
          <w:szCs w:val="24"/>
        </w:rPr>
        <w:t>(Uberman, Matan &amp; Shay, 2016)</w:t>
      </w:r>
      <w:r w:rsidRPr="009D4F46">
        <w:rPr>
          <w:rFonts w:ascii="Garamond" w:hAnsi="Garamond" w:cs="Times New Roman"/>
          <w:sz w:val="24"/>
          <w:szCs w:val="24"/>
        </w:rPr>
        <w:fldChar w:fldCharType="end"/>
      </w:r>
      <w:r w:rsidRPr="009D4F46">
        <w:rPr>
          <w:rFonts w:ascii="Garamond" w:hAnsi="Garamond" w:cs="Times New Roman"/>
          <w:sz w:val="24"/>
          <w:szCs w:val="24"/>
        </w:rPr>
        <w:t>.</w:t>
      </w:r>
    </w:p>
    <w:p w:rsidR="005C7170" w:rsidRPr="009D4F46" w:rsidRDefault="00B91E28" w:rsidP="00B91E28">
      <w:pPr>
        <w:spacing w:after="0" w:line="360" w:lineRule="auto"/>
        <w:ind w:firstLine="720"/>
        <w:jc w:val="both"/>
        <w:rPr>
          <w:rFonts w:ascii="Garamond" w:hAnsi="Garamond" w:cs="Times New Roman"/>
          <w:color w:val="000000" w:themeColor="text1"/>
          <w:sz w:val="28"/>
          <w:szCs w:val="24"/>
        </w:rPr>
      </w:pPr>
      <w:r w:rsidRPr="009D4F46">
        <w:rPr>
          <w:rFonts w:ascii="Garamond" w:hAnsi="Garamond" w:cs="Times New Roman"/>
          <w:sz w:val="24"/>
        </w:rPr>
        <w:t xml:space="preserve">Menurut Muhammad As’ad, dosen Universitas Hasyim Asy’ari di Jawa Timur, mengungkapkan bahwa hijrah berubah arti menjadi makna budaya, individu yang menjauhi diri dari perilaku buruk agar memperoleh </w:t>
      </w:r>
      <w:proofErr w:type="gramStart"/>
      <w:r w:rsidRPr="009D4F46">
        <w:rPr>
          <w:rFonts w:ascii="Garamond" w:hAnsi="Garamond" w:cs="Times New Roman"/>
          <w:sz w:val="24"/>
        </w:rPr>
        <w:t>gaya</w:t>
      </w:r>
      <w:proofErr w:type="gramEnd"/>
      <w:r w:rsidRPr="009D4F46">
        <w:rPr>
          <w:rFonts w:ascii="Garamond" w:hAnsi="Garamond" w:cs="Times New Roman"/>
          <w:sz w:val="24"/>
        </w:rPr>
        <w:t xml:space="preserve"> hidup yang lebih islami. Keputusan berhijrah terjadi pada kalangan kelas menengah, khususnya mahasiswa karena berpendidikan dan secara ekonomi lebih kaya dibandingkan masyarakat desa, sehingga hijrah terjadi karena sudah popular di media sosial </w:t>
      </w:r>
      <w:r w:rsidRPr="009D4F46">
        <w:rPr>
          <w:rFonts w:ascii="Garamond" w:hAnsi="Garamond" w:cs="Times New Roman"/>
          <w:sz w:val="24"/>
        </w:rPr>
        <w:fldChar w:fldCharType="begin" w:fldLock="1"/>
      </w:r>
      <w:r w:rsidRPr="009D4F46">
        <w:rPr>
          <w:rFonts w:ascii="Garamond" w:hAnsi="Garamond" w:cs="Times New Roman"/>
          <w:sz w:val="24"/>
        </w:rPr>
        <w:instrText>ADDIN CSL_CITATION { "citationItems" : [ { "id" : "ITEM-1", "itemData" : { "URL" : "https://www.matamatapolitik.com/in-depth-gerakan-hijrah-milenial-di-tengah-pusaran-pilpres-2019- berpengaruh/", "accessed" : { "date-parts" : [ [ "2019", "5", "8" ] ] }, "author" : [ { "dropping-particle" : "", "family" : "Yuniar", "given" : "R. W.", "non-dropping-particle" : "", "parse-names" : false, "suffix" : "" } ], "container-title" : "matapolitik.com", "id" : "ITEM-1", "issued" : { "date-parts" : [ [ "2019" ] ] }, "title" : "Gerakan Hijrah Milenial di Tengah Pusaran Pilpres 2019 , Berpengaruh?", "type" : "webpage" }, "uris" : [ "http://www.mendeley.com/documents/?uuid=4c26655a-a4f9-48e3-9cda-4846cab23245" ] } ], "mendeley" : { "formattedCitation" : "(Yuniar, 2019)", "plainTextFormattedCitation" : "(Yuniar, 2019)", "previouslyFormattedCitation" : "(Yuniar, 2019)" }, "properties" : {  }, "schema" : "https://github.com/citation-style-language/schema/raw/master/csl-citation.json" }</w:instrText>
      </w:r>
      <w:r w:rsidRPr="009D4F46">
        <w:rPr>
          <w:rFonts w:ascii="Garamond" w:hAnsi="Garamond" w:cs="Times New Roman"/>
          <w:sz w:val="24"/>
        </w:rPr>
        <w:fldChar w:fldCharType="separate"/>
      </w:r>
      <w:r w:rsidRPr="009D4F46">
        <w:rPr>
          <w:rFonts w:ascii="Garamond" w:hAnsi="Garamond" w:cs="Times New Roman"/>
          <w:noProof/>
          <w:sz w:val="24"/>
        </w:rPr>
        <w:t>(Yuniar, 2019)</w:t>
      </w:r>
      <w:r w:rsidRPr="009D4F46">
        <w:rPr>
          <w:rFonts w:ascii="Garamond" w:hAnsi="Garamond" w:cs="Times New Roman"/>
          <w:sz w:val="24"/>
        </w:rPr>
        <w:fldChar w:fldCharType="end"/>
      </w:r>
      <w:r w:rsidRPr="009D4F46">
        <w:rPr>
          <w:rFonts w:ascii="Garamond" w:hAnsi="Garamond" w:cs="Times New Roman"/>
          <w:sz w:val="24"/>
        </w:rPr>
        <w:t>.</w:t>
      </w:r>
      <w:r w:rsidRPr="009D4F46">
        <w:rPr>
          <w:rFonts w:ascii="Garamond" w:hAnsi="Garamond" w:cs="Times New Roman"/>
          <w:color w:val="000000" w:themeColor="text1"/>
          <w:sz w:val="28"/>
          <w:szCs w:val="24"/>
        </w:rPr>
        <w:t xml:space="preserve"> </w:t>
      </w:r>
    </w:p>
    <w:p w:rsidR="00FB18B6" w:rsidRPr="009D4F46" w:rsidRDefault="00FB18B6" w:rsidP="004E4EB1">
      <w:pPr>
        <w:spacing w:after="0" w:line="360" w:lineRule="auto"/>
        <w:ind w:firstLine="720"/>
        <w:jc w:val="both"/>
        <w:rPr>
          <w:rFonts w:ascii="Garamond" w:hAnsi="Garamond" w:cs="Times New Roman"/>
          <w:color w:val="000000" w:themeColor="text1"/>
          <w:sz w:val="28"/>
          <w:szCs w:val="24"/>
        </w:rPr>
      </w:pPr>
      <w:r w:rsidRPr="009D4F46">
        <w:rPr>
          <w:rFonts w:ascii="Garamond" w:hAnsi="Garamond" w:cs="Times New Roman"/>
          <w:sz w:val="24"/>
        </w:rPr>
        <w:t xml:space="preserve">Kerja </w:t>
      </w:r>
      <w:proofErr w:type="gramStart"/>
      <w:r w:rsidRPr="009D4F46">
        <w:rPr>
          <w:rFonts w:ascii="Garamond" w:hAnsi="Garamond" w:cs="Times New Roman"/>
          <w:sz w:val="24"/>
        </w:rPr>
        <w:t>sama</w:t>
      </w:r>
      <w:proofErr w:type="gramEnd"/>
      <w:r w:rsidRPr="009D4F46">
        <w:rPr>
          <w:rFonts w:ascii="Garamond" w:hAnsi="Garamond" w:cs="Times New Roman"/>
          <w:sz w:val="24"/>
        </w:rPr>
        <w:t xml:space="preserve"> antara Tabah Foundation dari Uni Emirat Arab dengan Zogby Research Service melaksanakan survei yang besar mengenai pandangan generasi milenial muslim tentang peran agama. Sampel diambil dari beberapa negara di timur tengah diantaranya Maroko, Mesir, UEA, Arab Saudi, Yordania, Palestina, Bahrain, dan Kuwait. Hasil dari penelitian ditemukan bahwa seluruh negara setuju bahwa agama memiliki peran penting untuk masa depan negara. Persentase diperoleh sebanyak 100% generasi milenial meyakini kebenaran agama Islam dari empat negara (</w:t>
      </w:r>
      <w:proofErr w:type="gramStart"/>
      <w:r w:rsidRPr="009D4F46">
        <w:rPr>
          <w:rFonts w:ascii="Garamond" w:hAnsi="Garamond" w:cs="Times New Roman"/>
          <w:sz w:val="24"/>
        </w:rPr>
        <w:t>arab</w:t>
      </w:r>
      <w:proofErr w:type="gramEnd"/>
      <w:r w:rsidRPr="009D4F46">
        <w:rPr>
          <w:rFonts w:ascii="Garamond" w:hAnsi="Garamond" w:cs="Times New Roman"/>
          <w:sz w:val="24"/>
        </w:rPr>
        <w:t xml:space="preserve"> Saudi, Bahrain, Kuwait, Yordania). Sedangkan Mesir, UEA, dan Palestina (90%), dan Maroko (77%) </w:t>
      </w:r>
      <w:r w:rsidR="0033788C" w:rsidRPr="009D4F46">
        <w:rPr>
          <w:rFonts w:ascii="Garamond" w:hAnsi="Garamond" w:cs="Times New Roman"/>
          <w:sz w:val="24"/>
        </w:rPr>
        <w:fldChar w:fldCharType="begin" w:fldLock="1"/>
      </w:r>
      <w:r w:rsidR="0033788C" w:rsidRPr="009D4F46">
        <w:rPr>
          <w:rFonts w:ascii="Garamond" w:hAnsi="Garamond" w:cs="Times New Roman"/>
          <w:sz w:val="24"/>
        </w:rPr>
        <w:instrText>ADDIN CSL_CITATION { "citationItems" : [ { "id" : "ITEM-1", "itemData" : { "author" : [ { "dropping-particle" : "", "family" : "James, Elizabeth, &amp; Hope", "given" : "S.", "non-dropping-particle" : "", "parse-names" : false, "suffix" : "" } ], "id" : "ITEM-1", "issued" : { "date-parts" : [ [ "2015" ] ] }, "number-of-pages" : "1-21", "publisher" : "Zogby Research Services, LLC", "publisher-place" : "Uni Emirat Arab", "title" : "Muslim Millennial Attitudes on Religion &amp; Religious Leadership", "type" : "report" }, "uris" : [ "http://www.mendeley.com/documents/?uuid=13cb705c-4b01-4767-81bf-c3e91d946b8a" ] } ], "mendeley" : { "formattedCitation" : "(James, Elizabeth, &amp; Hope, 2015)", "plainTextFormattedCitation" : "(James, Elizabeth, &amp; Hope, 2015)", "previouslyFormattedCitation" : "(James, Elizabeth, &amp; Hope, 2015)" }, "properties" : {  }, "schema" : "https://github.com/citation-style-language/schema/raw/master/csl-citation.json" }</w:instrText>
      </w:r>
      <w:r w:rsidR="0033788C" w:rsidRPr="009D4F46">
        <w:rPr>
          <w:rFonts w:ascii="Garamond" w:hAnsi="Garamond" w:cs="Times New Roman"/>
          <w:sz w:val="24"/>
        </w:rPr>
        <w:fldChar w:fldCharType="separate"/>
      </w:r>
      <w:r w:rsidR="0033788C" w:rsidRPr="009D4F46">
        <w:rPr>
          <w:rFonts w:ascii="Garamond" w:hAnsi="Garamond" w:cs="Times New Roman"/>
          <w:noProof/>
          <w:sz w:val="24"/>
        </w:rPr>
        <w:t>(James, Elizabeth, &amp; Hope, 2015)</w:t>
      </w:r>
      <w:r w:rsidR="0033788C" w:rsidRPr="009D4F46">
        <w:rPr>
          <w:rFonts w:ascii="Garamond" w:hAnsi="Garamond" w:cs="Times New Roman"/>
          <w:sz w:val="24"/>
        </w:rPr>
        <w:fldChar w:fldCharType="end"/>
      </w:r>
      <w:r w:rsidR="0033788C" w:rsidRPr="009D4F46">
        <w:rPr>
          <w:rFonts w:ascii="Garamond" w:hAnsi="Garamond" w:cs="Times New Roman"/>
          <w:sz w:val="24"/>
        </w:rPr>
        <w:t>.</w:t>
      </w:r>
    </w:p>
    <w:p w:rsidR="004E4EB1" w:rsidRPr="009D4F46" w:rsidRDefault="004E4EB1" w:rsidP="004E4EB1">
      <w:pPr>
        <w:spacing w:after="0" w:line="360" w:lineRule="auto"/>
        <w:ind w:firstLine="720"/>
        <w:jc w:val="both"/>
        <w:rPr>
          <w:rFonts w:ascii="Garamond" w:hAnsi="Garamond" w:cs="Times New Roman"/>
          <w:color w:val="000000" w:themeColor="text1"/>
          <w:sz w:val="28"/>
          <w:szCs w:val="24"/>
        </w:rPr>
      </w:pPr>
      <w:r w:rsidRPr="009D4F46">
        <w:rPr>
          <w:rFonts w:ascii="Garamond" w:hAnsi="Garamond" w:cs="Times New Roman"/>
          <w:sz w:val="24"/>
        </w:rPr>
        <w:t xml:space="preserve">Muhammad </w:t>
      </w:r>
      <w:proofErr w:type="gramStart"/>
      <w:r w:rsidRPr="009D4F46">
        <w:rPr>
          <w:rFonts w:ascii="Garamond" w:hAnsi="Garamond" w:cs="Times New Roman"/>
          <w:sz w:val="24"/>
        </w:rPr>
        <w:t>faisal</w:t>
      </w:r>
      <w:proofErr w:type="gramEnd"/>
      <w:r w:rsidRPr="009D4F46">
        <w:rPr>
          <w:rFonts w:ascii="Garamond" w:hAnsi="Garamond" w:cs="Times New Roman"/>
          <w:sz w:val="24"/>
        </w:rPr>
        <w:t xml:space="preserve"> dari Youth Labs melakukan riset yang tercantum pada buku “Generasi Phi: Memahami Milenial Pengubah Indonesia (2017)”, riset pada kelompok anak muda dai berbagai daerah, hasil diperoleh bahwa jawaban tentang keagamaan dan ingin membahagiakan orang tua lebih dominan. Muhammad Najib Azca, seorang sosiolog dari Universitas Gajah Mada mengungkapkan bahwa terdapat pola-pola anak muda dalam fenomena hijrah, yaitu sebagai fenomena sosial yang krisis dialami manusia, tertutama anak muda. </w:t>
      </w:r>
      <w:proofErr w:type="gramStart"/>
      <w:r w:rsidRPr="009D4F46">
        <w:rPr>
          <w:rFonts w:ascii="Garamond" w:hAnsi="Garamond" w:cs="Times New Roman"/>
          <w:sz w:val="24"/>
        </w:rPr>
        <w:t>Krisis tersebut, manusia membutuhkan jawaban dengan menghasilkan perubahan indikator keagamaan.</w:t>
      </w:r>
      <w:proofErr w:type="gramEnd"/>
      <w:r w:rsidRPr="009D4F46">
        <w:rPr>
          <w:rFonts w:ascii="Garamond" w:hAnsi="Garamond" w:cs="Times New Roman"/>
          <w:sz w:val="24"/>
        </w:rPr>
        <w:t xml:space="preserve"> Selain itu, </w:t>
      </w:r>
      <w:proofErr w:type="gramStart"/>
      <w:r w:rsidRPr="009D4F46">
        <w:rPr>
          <w:rFonts w:ascii="Garamond" w:hAnsi="Garamond" w:cs="Times New Roman"/>
          <w:sz w:val="24"/>
        </w:rPr>
        <w:t>gaya</w:t>
      </w:r>
      <w:proofErr w:type="gramEnd"/>
      <w:r w:rsidRPr="009D4F46">
        <w:rPr>
          <w:rFonts w:ascii="Garamond" w:hAnsi="Garamond" w:cs="Times New Roman"/>
          <w:sz w:val="24"/>
        </w:rPr>
        <w:t xml:space="preserve"> </w:t>
      </w:r>
      <w:r w:rsidRPr="009D4F46">
        <w:rPr>
          <w:rFonts w:ascii="Garamond" w:hAnsi="Garamond" w:cs="Times New Roman"/>
          <w:sz w:val="24"/>
        </w:rPr>
        <w:lastRenderedPageBreak/>
        <w:t xml:space="preserve">hidup timur tengah berkembang, anak muda lebih mudah menerima hal baru dan mengalami perubahan. Menurutnya, hijrah menjadi </w:t>
      </w:r>
      <w:proofErr w:type="gramStart"/>
      <w:r w:rsidRPr="009D4F46">
        <w:rPr>
          <w:rFonts w:ascii="Garamond" w:hAnsi="Garamond" w:cs="Times New Roman"/>
          <w:sz w:val="24"/>
        </w:rPr>
        <w:t>cara</w:t>
      </w:r>
      <w:proofErr w:type="gramEnd"/>
      <w:r w:rsidRPr="009D4F46">
        <w:rPr>
          <w:rFonts w:ascii="Garamond" w:hAnsi="Garamond" w:cs="Times New Roman"/>
          <w:sz w:val="24"/>
        </w:rPr>
        <w:t xml:space="preserve"> hidup yang baru, manusia tidak hanya memikirkan keselamatan sendiri, namun juga keselamatan atau kesejahteraan dan keadilan sosial. Menurut Prof. HM Baharun, Guru Besar Sosiologi Agama Universitas Negeri Sunan Ampel, mengungkapkan bahwa faktor pendorong masyarakat milenial untuk hijrah adalah (1) Remaja merasa kekosongan jiwa yang menimbulkan kejenuhan dan ketidaktenangan walapun telah kehidupan mengiming-imingi kesenangan. (2) Remaja yang sudah berpikir kritis, didukung dengan akses informasi keagamaan yang luas memudahkan remaja milenial untuk berkembang </w:t>
      </w:r>
      <w:r w:rsidRPr="009D4F46">
        <w:rPr>
          <w:rFonts w:ascii="Garamond" w:hAnsi="Garamond" w:cs="Times New Roman"/>
          <w:sz w:val="24"/>
        </w:rPr>
        <w:fldChar w:fldCharType="begin" w:fldLock="1"/>
      </w:r>
      <w:r w:rsidRPr="009D4F46">
        <w:rPr>
          <w:rFonts w:ascii="Garamond" w:hAnsi="Garamond" w:cs="Times New Roman"/>
          <w:sz w:val="24"/>
        </w:rPr>
        <w:instrText>ADDIN CSL_CITATION { "citationItems" : [ { "id" : "ITEM-1", "itemData" : { "URL" : "https://republika.co.id/berita/nasional/news-analysis/pizuag415/fenomena-hijrah-pemuda-membalik- stigma-muslim-milenial-part1", "accessed" : { "date-parts" : [ [ "2019", "5", "8" ] ] }, "author" : [ { "dropping-particle" : "", "family" : "Raharjo", "given" : "Budi", "non-dropping-particle" : "", "parse-names" : false, "suffix" : "" } ], "container-title" : "republika.co.id", "id" : "ITEM-1", "issued" : { "date-parts" : [ [ "2018" ] ] }, "title" : "Fenomena Hijrah Pemuda : Membalik Stigma Muslim Milenial", "type" : "webpage" }, "uris" : [ "http://www.mendeley.com/documents/?uuid=3763fa4e-1a3b-4753-9546-145475afaca8" ] } ], "mendeley" : { "formattedCitation" : "(Raharjo, 2018)", "plainTextFormattedCitation" : "(Raharjo, 2018)", "previouslyFormattedCitation" : "(Raharjo, 2018)" }, "properties" : {  }, "schema" : "https://github.com/citation-style-language/schema/raw/master/csl-citation.json" }</w:instrText>
      </w:r>
      <w:r w:rsidRPr="009D4F46">
        <w:rPr>
          <w:rFonts w:ascii="Garamond" w:hAnsi="Garamond" w:cs="Times New Roman"/>
          <w:sz w:val="24"/>
        </w:rPr>
        <w:fldChar w:fldCharType="separate"/>
      </w:r>
      <w:r w:rsidRPr="009D4F46">
        <w:rPr>
          <w:rFonts w:ascii="Garamond" w:hAnsi="Garamond" w:cs="Times New Roman"/>
          <w:noProof/>
          <w:sz w:val="24"/>
        </w:rPr>
        <w:t>(Raharjo, 2018)</w:t>
      </w:r>
      <w:r w:rsidRPr="009D4F46">
        <w:rPr>
          <w:rFonts w:ascii="Garamond" w:hAnsi="Garamond" w:cs="Times New Roman"/>
          <w:sz w:val="24"/>
        </w:rPr>
        <w:fldChar w:fldCharType="end"/>
      </w:r>
      <w:r w:rsidRPr="009D4F46">
        <w:rPr>
          <w:rFonts w:ascii="Garamond" w:hAnsi="Garamond" w:cs="Times New Roman"/>
          <w:sz w:val="24"/>
        </w:rPr>
        <w:t>.</w:t>
      </w:r>
      <w:r w:rsidRPr="009D4F46">
        <w:rPr>
          <w:rFonts w:ascii="Garamond" w:hAnsi="Garamond" w:cs="Times New Roman"/>
          <w:color w:val="000000" w:themeColor="text1"/>
          <w:sz w:val="28"/>
          <w:szCs w:val="24"/>
        </w:rPr>
        <w:t xml:space="preserve"> </w:t>
      </w:r>
    </w:p>
    <w:p w:rsidR="0061535D" w:rsidRPr="009D4F46" w:rsidRDefault="00AC1E55" w:rsidP="00071A89">
      <w:pPr>
        <w:spacing w:after="0" w:line="360" w:lineRule="auto"/>
        <w:ind w:firstLine="720"/>
        <w:jc w:val="both"/>
        <w:rPr>
          <w:rFonts w:ascii="Garamond" w:hAnsi="Garamond" w:cs="Times New Roman"/>
          <w:color w:val="000000" w:themeColor="text1"/>
          <w:sz w:val="24"/>
          <w:szCs w:val="24"/>
        </w:rPr>
      </w:pPr>
      <w:r w:rsidRPr="009D4F46">
        <w:rPr>
          <w:rFonts w:ascii="Garamond" w:hAnsi="Garamond" w:cs="Times New Roman"/>
          <w:color w:val="000000" w:themeColor="text1"/>
          <w:sz w:val="24"/>
          <w:szCs w:val="24"/>
        </w:rPr>
        <w:t>F</w:t>
      </w:r>
      <w:r w:rsidR="004C54E8" w:rsidRPr="009D4F46">
        <w:rPr>
          <w:rFonts w:ascii="Garamond" w:hAnsi="Garamond" w:cs="Times New Roman"/>
          <w:color w:val="000000" w:themeColor="text1"/>
          <w:sz w:val="24"/>
          <w:szCs w:val="24"/>
        </w:rPr>
        <w:t>enomena hijrah didukung dengan banyaknya kajian-kajian islami dengan ustadz dan ustadzah yang memiliki daya tarik bagi para jamaah seperti ustadz Abdul Somad, Hanan Ataqqi, Adi Hidayat, Khalid Basalamah, Aam Amiruddin, Mamah Dedeh dan sebagainya.</w:t>
      </w:r>
      <w:r w:rsidR="00C7671E" w:rsidRPr="009D4F46">
        <w:rPr>
          <w:rFonts w:ascii="Garamond" w:hAnsi="Garamond" w:cs="Times New Roman"/>
          <w:color w:val="000000" w:themeColor="text1"/>
          <w:sz w:val="24"/>
          <w:szCs w:val="24"/>
        </w:rPr>
        <w:t xml:space="preserve"> </w:t>
      </w:r>
      <w:r w:rsidR="004C54E8" w:rsidRPr="009D4F46">
        <w:rPr>
          <w:rFonts w:ascii="Garamond" w:hAnsi="Garamond" w:cs="Times New Roman"/>
          <w:sz w:val="24"/>
          <w:szCs w:val="24"/>
        </w:rPr>
        <w:t>Seperti Ustadz Abdul Somad yang dicirikan dengan sejuta viewers, Ustadz Adi Hidayat yang juga banyak berdakwah di media sosial, serta Ustadz Hanan Attaki berdakwah dengan sasaran ana</w:t>
      </w:r>
      <w:r w:rsidR="00071A89" w:rsidRPr="009D4F46">
        <w:rPr>
          <w:rFonts w:ascii="Garamond" w:hAnsi="Garamond" w:cs="Times New Roman"/>
          <w:sz w:val="24"/>
          <w:szCs w:val="24"/>
        </w:rPr>
        <w:t>k muda, bahkan membuat gerakan “pemuda hijrah”</w:t>
      </w:r>
      <w:r w:rsidR="004C54E8" w:rsidRPr="009D4F46">
        <w:rPr>
          <w:rFonts w:ascii="Garamond" w:hAnsi="Garamond" w:cs="Times New Roman"/>
          <w:sz w:val="24"/>
          <w:szCs w:val="24"/>
        </w:rPr>
        <w:t xml:space="preserve">. Ketiga Ustadz tersebut menyampaikan kajian islami atau dakwah melalui media sosial yang dapat bertahan di zaman modern saat ini </w:t>
      </w:r>
      <w:r w:rsidR="004C54E8" w:rsidRPr="009D4F46">
        <w:rPr>
          <w:rFonts w:ascii="Garamond" w:hAnsi="Garamond" w:cs="Times New Roman"/>
          <w:sz w:val="24"/>
          <w:szCs w:val="24"/>
        </w:rPr>
        <w:fldChar w:fldCharType="begin" w:fldLock="1"/>
      </w:r>
      <w:r w:rsidR="004C54E8" w:rsidRPr="009D4F46">
        <w:rPr>
          <w:rFonts w:ascii="Garamond" w:hAnsi="Garamond" w:cs="Times New Roman"/>
          <w:sz w:val="24"/>
          <w:szCs w:val="24"/>
        </w:rPr>
        <w:instrText>ADDIN CSL_CITATION { "citationItems" : [ { "id" : "ITEM-1", "itemData" : { "author" : [ { "dropping-particle" : "", "family" : "Abdullah", "given" : "S Dinar Annisa", "non-dropping-particle" : "", "parse-names" : false, "suffix" : "" } ], "id" : "ITEM-1", "issue" : "1", "issued" : { "date-parts" : [ [ "2018" ] ] }, "page" : "65-74", "title" : "Peran Hanan Attaki dalam Membangun Persepsi Generasi Milenial Tentang Tuhan (Analisis Isi Atas Video \u201cKangen\u201d di Youtube)", "type" : "article-journal", "volume" : "7" }, "uris" : [ "http://www.mendeley.com/documents/?uuid=1c2ed414-2110-4e41-afb0-af5d64a13b57" ] } ], "mendeley" : { "formattedCitation" : "(Abdullah, 2018)", "plainTextFormattedCitation" : "(Abdullah, 2018)", "previouslyFormattedCitation" : "(Abdullah, 2018)" }, "properties" : {  }, "schema" : "https://github.com/citation-style-language/schema/raw/master/csl-citation.json" }</w:instrText>
      </w:r>
      <w:r w:rsidR="004C54E8" w:rsidRPr="009D4F46">
        <w:rPr>
          <w:rFonts w:ascii="Garamond" w:hAnsi="Garamond" w:cs="Times New Roman"/>
          <w:sz w:val="24"/>
          <w:szCs w:val="24"/>
        </w:rPr>
        <w:fldChar w:fldCharType="separate"/>
      </w:r>
      <w:r w:rsidR="004C54E8" w:rsidRPr="009D4F46">
        <w:rPr>
          <w:rFonts w:ascii="Garamond" w:hAnsi="Garamond" w:cs="Times New Roman"/>
          <w:noProof/>
          <w:sz w:val="24"/>
          <w:szCs w:val="24"/>
        </w:rPr>
        <w:t>(Abdullah, 2018)</w:t>
      </w:r>
      <w:r w:rsidR="004C54E8" w:rsidRPr="009D4F46">
        <w:rPr>
          <w:rFonts w:ascii="Garamond" w:hAnsi="Garamond" w:cs="Times New Roman"/>
          <w:sz w:val="24"/>
          <w:szCs w:val="24"/>
        </w:rPr>
        <w:fldChar w:fldCharType="end"/>
      </w:r>
      <w:r w:rsidR="00071A89" w:rsidRPr="009D4F46">
        <w:rPr>
          <w:rFonts w:ascii="Garamond" w:hAnsi="Garamond" w:cs="Times New Roman"/>
          <w:sz w:val="24"/>
          <w:szCs w:val="24"/>
        </w:rPr>
        <w:t>.</w:t>
      </w:r>
    </w:p>
    <w:p w:rsidR="00AC1E55" w:rsidRPr="009D4F46" w:rsidRDefault="00C7671E" w:rsidP="00414D37">
      <w:pPr>
        <w:spacing w:line="360" w:lineRule="auto"/>
        <w:ind w:firstLine="720"/>
        <w:jc w:val="both"/>
        <w:rPr>
          <w:rFonts w:ascii="Garamond" w:hAnsi="Garamond" w:cs="Times New Roman"/>
          <w:sz w:val="24"/>
          <w:szCs w:val="24"/>
        </w:rPr>
      </w:pPr>
      <w:r w:rsidRPr="009D4F46">
        <w:rPr>
          <w:rFonts w:ascii="Garamond" w:hAnsi="Garamond" w:cs="Times New Roman"/>
          <w:sz w:val="24"/>
          <w:szCs w:val="24"/>
        </w:rPr>
        <w:t xml:space="preserve">Berdasarkan Penelitian Abraham Z. Z. &amp; Dewi A. S. H. (2018) hasil penelitian ditemukan bahwa (1) Generasi milenial mempunyai karakteristik out of the box dan selalu terhubung dengan internet yang berdampak dalam perubahan </w:t>
      </w:r>
      <w:proofErr w:type="gramStart"/>
      <w:r w:rsidRPr="009D4F46">
        <w:rPr>
          <w:rFonts w:ascii="Garamond" w:hAnsi="Garamond" w:cs="Times New Roman"/>
          <w:sz w:val="24"/>
          <w:szCs w:val="24"/>
        </w:rPr>
        <w:t>kultur</w:t>
      </w:r>
      <w:proofErr w:type="gramEnd"/>
      <w:r w:rsidRPr="009D4F46">
        <w:rPr>
          <w:rFonts w:ascii="Garamond" w:hAnsi="Garamond" w:cs="Times New Roman"/>
          <w:sz w:val="24"/>
          <w:szCs w:val="24"/>
        </w:rPr>
        <w:t xml:space="preserve"> dakwah di Indonesia. (2) Media sosial memberikan kontribusi positif, namun juga terdapat goresan yang menimbulkan reaksi, yaitu dengan mudah tersebar ujaran kebencia, ketidakinginan mencari sumber primer dan masalah menyeleksi kualitas pendakwah. (3) Mencermati generasi milenial yang memiliki ciri toleran, pluralis, serta dapat menghargai perbedaan dan keberagaman yang melahirkan peluang besar dalam perkembangan dakwah Islam moderat di Indonesia </w:t>
      </w:r>
      <w:r w:rsidRPr="009D4F46">
        <w:rPr>
          <w:rFonts w:ascii="Garamond" w:hAnsi="Garamond" w:cs="Times New Roman"/>
          <w:sz w:val="24"/>
          <w:szCs w:val="24"/>
        </w:rPr>
        <w:fldChar w:fldCharType="begin" w:fldLock="1"/>
      </w:r>
      <w:r w:rsidRPr="009D4F46">
        <w:rPr>
          <w:rFonts w:ascii="Garamond" w:hAnsi="Garamond" w:cs="Times New Roman"/>
          <w:sz w:val="24"/>
          <w:szCs w:val="24"/>
        </w:rPr>
        <w:instrText>ADDIN CSL_CITATION { "citationItems" : [ { "id" : "ITEM-1", "itemData" : { "author" : [ { "dropping-particle" : "", "family" : "Zulhazmi", "given" : "Abraham Zakky", "non-dropping-particle" : "", "parse-names" : false, "suffix" : "" }, { "dropping-particle" : "", "family" : "Hastuti", "given" : "Dewi Ayu Sri", "non-dropping-particle" : "", "parse-names" : false, "suffix" : "" } ], "id" : "ITEM-1", "issue" : "2", "issued" : { "date-parts" : [ [ "2018" ] ] }, "page" : "121-138", "title" : "Da\u2019wa, Muslim Millennials and Social Media", "type" : "article-journal", "volume" : "II" }, "uris" : [ "http://www.mendeley.com/documents/?uuid=91f50b81-ca49-429b-a905-a1969a2962db" ] } ], "mendeley" : { "formattedCitation" : "(Zulhazmi &amp; Hastuti, 2018)", "plainTextFormattedCitation" : "(Zulhazmi &amp; Hastuti, 2018)", "previouslyFormattedCitation" : "(Zulhazmi &amp; Hastuti, 2018)" }, "properties" : {  }, "schema" : "https://github.com/citation-style-language/schema/raw/master/csl-citation.json" }</w:instrText>
      </w:r>
      <w:r w:rsidRPr="009D4F46">
        <w:rPr>
          <w:rFonts w:ascii="Garamond" w:hAnsi="Garamond" w:cs="Times New Roman"/>
          <w:sz w:val="24"/>
          <w:szCs w:val="24"/>
        </w:rPr>
        <w:fldChar w:fldCharType="separate"/>
      </w:r>
      <w:r w:rsidRPr="009D4F46">
        <w:rPr>
          <w:rFonts w:ascii="Garamond" w:hAnsi="Garamond" w:cs="Times New Roman"/>
          <w:noProof/>
          <w:sz w:val="24"/>
          <w:szCs w:val="24"/>
        </w:rPr>
        <w:t>(Zulhazmi &amp; Hastuti, 2018)</w:t>
      </w:r>
      <w:r w:rsidRPr="009D4F46">
        <w:rPr>
          <w:rFonts w:ascii="Garamond" w:hAnsi="Garamond" w:cs="Times New Roman"/>
          <w:sz w:val="24"/>
          <w:szCs w:val="24"/>
        </w:rPr>
        <w:fldChar w:fldCharType="end"/>
      </w:r>
      <w:r w:rsidR="00411A8B" w:rsidRPr="009D4F46">
        <w:rPr>
          <w:rFonts w:ascii="Garamond" w:hAnsi="Garamond" w:cs="Times New Roman"/>
          <w:sz w:val="24"/>
          <w:szCs w:val="24"/>
        </w:rPr>
        <w:t>.</w:t>
      </w:r>
    </w:p>
    <w:p w:rsidR="001B7A30" w:rsidRPr="009D4F46" w:rsidRDefault="008526A6" w:rsidP="001B7A30">
      <w:pPr>
        <w:spacing w:after="0" w:line="360" w:lineRule="auto"/>
        <w:jc w:val="both"/>
        <w:rPr>
          <w:rFonts w:ascii="Garamond" w:hAnsi="Garamond" w:cs="Times New Roman"/>
          <w:b/>
          <w:sz w:val="24"/>
          <w:szCs w:val="24"/>
        </w:rPr>
      </w:pPr>
      <w:r w:rsidRPr="009D4F46">
        <w:rPr>
          <w:rFonts w:ascii="Garamond" w:hAnsi="Garamond" w:cs="Times New Roman"/>
          <w:b/>
          <w:sz w:val="24"/>
          <w:szCs w:val="24"/>
        </w:rPr>
        <w:t>KAJIAN PUSTAKA</w:t>
      </w:r>
    </w:p>
    <w:p w:rsidR="004956DA" w:rsidRPr="009D4F46" w:rsidRDefault="004956DA" w:rsidP="004956DA">
      <w:pPr>
        <w:pStyle w:val="ListParagraph"/>
        <w:numPr>
          <w:ilvl w:val="0"/>
          <w:numId w:val="5"/>
        </w:numPr>
        <w:spacing w:after="0" w:line="360" w:lineRule="auto"/>
        <w:jc w:val="both"/>
        <w:rPr>
          <w:rFonts w:ascii="Garamond" w:hAnsi="Garamond"/>
          <w:b/>
          <w:sz w:val="24"/>
          <w:szCs w:val="24"/>
        </w:rPr>
      </w:pPr>
      <w:r w:rsidRPr="009D4F46">
        <w:rPr>
          <w:rFonts w:ascii="Garamond" w:hAnsi="Garamond"/>
          <w:b/>
          <w:sz w:val="24"/>
          <w:szCs w:val="24"/>
        </w:rPr>
        <w:t>Gerakan Sosial Baru (Paradigma Berorientasi Identitas)</w:t>
      </w:r>
    </w:p>
    <w:p w:rsidR="00FB18B6" w:rsidRPr="009D4F46" w:rsidRDefault="004956DA" w:rsidP="00FB18B6">
      <w:pPr>
        <w:pStyle w:val="ListParagraph"/>
        <w:spacing w:after="0" w:line="360" w:lineRule="auto"/>
        <w:ind w:left="0" w:firstLine="720"/>
        <w:jc w:val="both"/>
        <w:rPr>
          <w:rFonts w:ascii="Garamond" w:hAnsi="Garamond"/>
          <w:sz w:val="24"/>
          <w:szCs w:val="24"/>
        </w:rPr>
      </w:pPr>
      <w:proofErr w:type="gramStart"/>
      <w:r w:rsidRPr="009D4F46">
        <w:rPr>
          <w:rFonts w:ascii="Garamond" w:hAnsi="Garamond"/>
          <w:sz w:val="24"/>
          <w:szCs w:val="24"/>
        </w:rPr>
        <w:t>Gerakan Sosial Baru (GSB) mempunyai gambaran baru mulai dari tampilan wajah gerakan baru yang timbul di masyarakat, tipe-tipe, bentuk serta model gerakan sosial.</w:t>
      </w:r>
      <w:proofErr w:type="gramEnd"/>
      <w:r w:rsidRPr="009D4F46">
        <w:rPr>
          <w:rFonts w:ascii="Garamond" w:hAnsi="Garamond"/>
          <w:sz w:val="24"/>
          <w:szCs w:val="24"/>
        </w:rPr>
        <w:t xml:space="preserve"> </w:t>
      </w:r>
      <w:proofErr w:type="gramStart"/>
      <w:r w:rsidRPr="009D4F46">
        <w:rPr>
          <w:rFonts w:ascii="Garamond" w:hAnsi="Garamond"/>
          <w:sz w:val="24"/>
          <w:szCs w:val="24"/>
        </w:rPr>
        <w:t>Perspektif studi pada tindakan rasional dalam pemaksaan-pem</w:t>
      </w:r>
      <w:r w:rsidR="00B91E28" w:rsidRPr="009D4F46">
        <w:rPr>
          <w:rFonts w:ascii="Garamond" w:hAnsi="Garamond"/>
          <w:sz w:val="24"/>
          <w:szCs w:val="24"/>
        </w:rPr>
        <w:t>aksaan yang bersifat struktural.</w:t>
      </w:r>
      <w:proofErr w:type="gramEnd"/>
      <w:r w:rsidR="00B91E28" w:rsidRPr="009D4F46">
        <w:rPr>
          <w:rFonts w:ascii="Garamond" w:hAnsi="Garamond"/>
          <w:sz w:val="24"/>
          <w:szCs w:val="24"/>
        </w:rPr>
        <w:t xml:space="preserve"> </w:t>
      </w:r>
      <w:proofErr w:type="gramStart"/>
      <w:r w:rsidRPr="009D4F46">
        <w:rPr>
          <w:rFonts w:ascii="Garamond" w:hAnsi="Garamond"/>
          <w:sz w:val="24"/>
          <w:szCs w:val="24"/>
        </w:rPr>
        <w:t>Gerakan Sosial Baru (GSB) memiliki berbagai paradigma, diantaranya (1) Paradigma Ketegangan Struktur (</w:t>
      </w:r>
      <w:r w:rsidRPr="009D4F46">
        <w:rPr>
          <w:rFonts w:ascii="Garamond" w:hAnsi="Garamond"/>
          <w:i/>
          <w:sz w:val="24"/>
          <w:szCs w:val="24"/>
        </w:rPr>
        <w:t>structural strain paradigm</w:t>
      </w:r>
      <w:r w:rsidRPr="009D4F46">
        <w:rPr>
          <w:rFonts w:ascii="Garamond" w:hAnsi="Garamond"/>
          <w:sz w:val="24"/>
          <w:szCs w:val="24"/>
        </w:rPr>
        <w:t>) merupakan bentuk-bentuk ketegangan dengan tingkat yang tinggi, lebih dari pengalaman individu.</w:t>
      </w:r>
      <w:proofErr w:type="gramEnd"/>
      <w:r w:rsidRPr="009D4F46">
        <w:rPr>
          <w:rFonts w:ascii="Garamond" w:hAnsi="Garamond"/>
          <w:sz w:val="24"/>
          <w:szCs w:val="24"/>
        </w:rPr>
        <w:t xml:space="preserve"> </w:t>
      </w:r>
      <w:proofErr w:type="gramStart"/>
      <w:r w:rsidRPr="009D4F46">
        <w:rPr>
          <w:rFonts w:ascii="Garamond" w:hAnsi="Garamond"/>
          <w:sz w:val="24"/>
          <w:szCs w:val="24"/>
        </w:rPr>
        <w:t>Ketegangan dipahami secara objektif sebagai kondisi yang eksis dan menggambarkan keadaan tegang pada aktor-aktor sosial yang berkonflik.</w:t>
      </w:r>
      <w:proofErr w:type="gramEnd"/>
      <w:r w:rsidRPr="009D4F46">
        <w:rPr>
          <w:rFonts w:ascii="Garamond" w:hAnsi="Garamond"/>
          <w:sz w:val="24"/>
          <w:szCs w:val="24"/>
        </w:rPr>
        <w:t xml:space="preserve"> </w:t>
      </w:r>
      <w:proofErr w:type="gramStart"/>
      <w:r w:rsidRPr="009D4F46">
        <w:rPr>
          <w:rFonts w:ascii="Garamond" w:hAnsi="Garamond"/>
          <w:sz w:val="24"/>
          <w:szCs w:val="24"/>
        </w:rPr>
        <w:t xml:space="preserve">(2) Paradigma </w:t>
      </w:r>
      <w:r w:rsidRPr="009D4F46">
        <w:rPr>
          <w:rFonts w:ascii="Garamond" w:hAnsi="Garamond"/>
          <w:sz w:val="24"/>
          <w:szCs w:val="24"/>
        </w:rPr>
        <w:lastRenderedPageBreak/>
        <w:t>M</w:t>
      </w:r>
      <w:r w:rsidR="00B13726" w:rsidRPr="009D4F46">
        <w:rPr>
          <w:rFonts w:ascii="Garamond" w:hAnsi="Garamond"/>
          <w:sz w:val="24"/>
          <w:szCs w:val="24"/>
        </w:rPr>
        <w:t>o</w:t>
      </w:r>
      <w:r w:rsidRPr="009D4F46">
        <w:rPr>
          <w:rFonts w:ascii="Garamond" w:hAnsi="Garamond"/>
          <w:sz w:val="24"/>
          <w:szCs w:val="24"/>
        </w:rPr>
        <w:t>bilisasi Sumber Daya (</w:t>
      </w:r>
      <w:r w:rsidRPr="009D4F46">
        <w:rPr>
          <w:rFonts w:ascii="Garamond" w:hAnsi="Garamond"/>
          <w:i/>
          <w:sz w:val="24"/>
          <w:szCs w:val="24"/>
        </w:rPr>
        <w:t>resource mobilization paradigm</w:t>
      </w:r>
      <w:r w:rsidRPr="009D4F46">
        <w:rPr>
          <w:rFonts w:ascii="Garamond" w:hAnsi="Garamond"/>
          <w:sz w:val="24"/>
          <w:szCs w:val="24"/>
        </w:rPr>
        <w:t>) merupakan tindakan-tindakan diambil berdasarkan rasional.</w:t>
      </w:r>
      <w:proofErr w:type="gramEnd"/>
      <w:r w:rsidRPr="009D4F46">
        <w:rPr>
          <w:rFonts w:ascii="Garamond" w:hAnsi="Garamond"/>
          <w:sz w:val="24"/>
          <w:szCs w:val="24"/>
        </w:rPr>
        <w:t xml:space="preserve"> (3) Paradigma Berorientasi Identitas merupakna perspektif pada peranan identitas yang melandasi semangat individu dalam suatu gerakan </w:t>
      </w:r>
      <w:r w:rsidRPr="009D4F46">
        <w:rPr>
          <w:rFonts w:ascii="Garamond" w:hAnsi="Garamond"/>
          <w:sz w:val="24"/>
          <w:szCs w:val="24"/>
        </w:rPr>
        <w:fldChar w:fldCharType="begin" w:fldLock="1"/>
      </w:r>
      <w:r w:rsidRPr="009D4F46">
        <w:rPr>
          <w:rFonts w:ascii="Garamond" w:hAnsi="Garamond"/>
          <w:sz w:val="24"/>
          <w:szCs w:val="24"/>
        </w:rPr>
        <w:instrText>ADDIN CSL_CITATION { "citationItems" : [ { "id" : "ITEM-1", "itemData" : { "ISBN" : "9786021859780", "author" : [ { "dropping-particle" : "", "family" : "Rusmanto", "given" : "Joni", "non-dropping-particle" : "", "parse-names" : false, "suffix" : "" } ], "id" : "ITEM-1", "issue" : "April", "issued" : { "date-parts" : [ [ "2018" ] ] }, "title" : "GERAKAN SOSIAL, Sejarah Perkembangan Teori antara Kekuatan dan Kelemahan", "type" : "book" }, "uris" : [ "http://www.mendeley.com/documents/?uuid=c911025d-2c99-4cda-af68-98bf647b0209" ] } ], "mendeley" : { "formattedCitation" : "(Rusmanto, 2018)", "plainTextFormattedCitation" : "(Rusmanto, 2018)", "previouslyFormattedCitation" : "(Rusmanto, 2018)" }, "properties" : {  }, "schema" : "https://github.com/citation-style-language/schema/raw/master/csl-citation.json" }</w:instrText>
      </w:r>
      <w:r w:rsidRPr="009D4F46">
        <w:rPr>
          <w:rFonts w:ascii="Garamond" w:hAnsi="Garamond"/>
          <w:sz w:val="24"/>
          <w:szCs w:val="24"/>
        </w:rPr>
        <w:fldChar w:fldCharType="separate"/>
      </w:r>
      <w:r w:rsidRPr="009D4F46">
        <w:rPr>
          <w:rFonts w:ascii="Garamond" w:hAnsi="Garamond"/>
          <w:noProof/>
          <w:sz w:val="24"/>
          <w:szCs w:val="24"/>
        </w:rPr>
        <w:t>(Rusmanto, 2018)</w:t>
      </w:r>
      <w:r w:rsidRPr="009D4F46">
        <w:rPr>
          <w:rFonts w:ascii="Garamond" w:hAnsi="Garamond"/>
          <w:sz w:val="24"/>
          <w:szCs w:val="24"/>
        </w:rPr>
        <w:fldChar w:fldCharType="end"/>
      </w:r>
      <w:r w:rsidRPr="009D4F46">
        <w:rPr>
          <w:rFonts w:ascii="Garamond" w:hAnsi="Garamond"/>
          <w:sz w:val="24"/>
          <w:szCs w:val="24"/>
        </w:rPr>
        <w:t>.</w:t>
      </w:r>
      <w:r w:rsidR="00FB18B6" w:rsidRPr="009D4F46">
        <w:rPr>
          <w:rFonts w:ascii="Garamond" w:hAnsi="Garamond"/>
          <w:sz w:val="24"/>
          <w:szCs w:val="24"/>
        </w:rPr>
        <w:t xml:space="preserve"> Menurut teori gerakan sosial seperti Castells dan Diani, gerakan sosial diwakili oleh sekelompok orang dengan identitas kolektif dan nilai-nilai bersama, dan terdiri dari jaringan formal dan informal </w:t>
      </w:r>
      <w:r w:rsidR="00FB18B6" w:rsidRPr="009D4F46">
        <w:rPr>
          <w:rFonts w:ascii="Garamond" w:hAnsi="Garamond"/>
          <w:sz w:val="24"/>
          <w:szCs w:val="24"/>
        </w:rPr>
        <w:fldChar w:fldCharType="begin" w:fldLock="1"/>
      </w:r>
      <w:r w:rsidR="00FB18B6" w:rsidRPr="009D4F46">
        <w:rPr>
          <w:rFonts w:ascii="Garamond" w:hAnsi="Garamond"/>
          <w:sz w:val="24"/>
          <w:szCs w:val="24"/>
        </w:rPr>
        <w:instrText>ADDIN CSL_CITATION { "citationItems" : [ { "id" : "ITEM-1", "itemData" : { "DOI" : "10.2307/26568582", "author" : [ { "dropping-particle" : "", "family" : "Yasin, N. A. Mohd &amp; Azman", "given" : "N. A. B.", "non-dropping-particle" : "", "parse-names" : false, "suffix" : "" } ], "id" : "ITEM-1", "issue" : "1", "issued" : { "date-parts" : [ [ "2019" ] ] }, "page" : "80-85", "title" : "Islamic State \u2019 s Online Social Movement Lifecycle : From Emergence to Repression in Southeast Asia", "type" : "article-journal", "volume" : "11" }, "uris" : [ "http://www.mendeley.com/documents/?uuid=96f31e9e-435e-4dbc-8eaf-81bce47a562a" ] } ], "mendeley" : { "formattedCitation" : "(Yasin, N. A. Mohd &amp; Azman, 2019)", "plainTextFormattedCitation" : "(Yasin, N. A. Mohd &amp; Azman, 2019)", "previouslyFormattedCitation" : "(Yasin, N. A. Mohd &amp; Azman, 2019)" }, "properties" : {  }, "schema" : "https://github.com/citation-style-language/schema/raw/master/csl-citation.json" }</w:instrText>
      </w:r>
      <w:r w:rsidR="00FB18B6" w:rsidRPr="009D4F46">
        <w:rPr>
          <w:rFonts w:ascii="Garamond" w:hAnsi="Garamond"/>
          <w:sz w:val="24"/>
          <w:szCs w:val="24"/>
        </w:rPr>
        <w:fldChar w:fldCharType="separate"/>
      </w:r>
      <w:r w:rsidR="00FB18B6" w:rsidRPr="009D4F46">
        <w:rPr>
          <w:rFonts w:ascii="Garamond" w:hAnsi="Garamond"/>
          <w:noProof/>
          <w:sz w:val="24"/>
          <w:szCs w:val="24"/>
        </w:rPr>
        <w:t>(Yasin, N. A. Mohd &amp; Azman, 2019)</w:t>
      </w:r>
      <w:r w:rsidR="00FB18B6" w:rsidRPr="009D4F46">
        <w:rPr>
          <w:rFonts w:ascii="Garamond" w:hAnsi="Garamond"/>
          <w:sz w:val="24"/>
          <w:szCs w:val="24"/>
        </w:rPr>
        <w:fldChar w:fldCharType="end"/>
      </w:r>
      <w:r w:rsidR="00FB18B6" w:rsidRPr="009D4F46">
        <w:rPr>
          <w:rFonts w:ascii="Garamond" w:hAnsi="Garamond"/>
          <w:sz w:val="24"/>
          <w:szCs w:val="24"/>
        </w:rPr>
        <w:t>.</w:t>
      </w:r>
    </w:p>
    <w:p w:rsidR="006C77D9" w:rsidRPr="009D4F46" w:rsidRDefault="00AC1E55" w:rsidP="006C77D9">
      <w:pPr>
        <w:pStyle w:val="ListParagraph"/>
        <w:spacing w:after="0" w:line="360" w:lineRule="auto"/>
        <w:ind w:left="0" w:firstLine="720"/>
        <w:jc w:val="both"/>
        <w:rPr>
          <w:rFonts w:ascii="Garamond" w:hAnsi="Garamond"/>
          <w:sz w:val="24"/>
          <w:szCs w:val="24"/>
        </w:rPr>
      </w:pPr>
      <w:proofErr w:type="gramStart"/>
      <w:r w:rsidRPr="009D4F46">
        <w:rPr>
          <w:rFonts w:ascii="Garamond" w:hAnsi="Garamond"/>
          <w:sz w:val="24"/>
          <w:szCs w:val="24"/>
        </w:rPr>
        <w:t>Paradigma Berorientasi Identitas merupakan perspektif pada peranan identitas yang melandasi semangat individu dalam suatu gerakan, gerakan yang bersifat non materialistik tetapi berfokus pada perilaku ekspresif.</w:t>
      </w:r>
      <w:proofErr w:type="gramEnd"/>
      <w:r w:rsidRPr="009D4F46">
        <w:rPr>
          <w:rFonts w:ascii="Garamond" w:hAnsi="Garamond"/>
          <w:sz w:val="24"/>
          <w:szCs w:val="24"/>
        </w:rPr>
        <w:t xml:space="preserve"> </w:t>
      </w:r>
      <w:proofErr w:type="gramStart"/>
      <w:r w:rsidRPr="009D4F46">
        <w:rPr>
          <w:rFonts w:ascii="Garamond" w:hAnsi="Garamond"/>
          <w:sz w:val="24"/>
          <w:szCs w:val="24"/>
        </w:rPr>
        <w:t>Aksi-aksi yang dilakukan para partisipan sebagai manusia secara keseluruhan.</w:t>
      </w:r>
      <w:proofErr w:type="gramEnd"/>
      <w:r w:rsidRPr="009D4F46">
        <w:rPr>
          <w:rFonts w:ascii="Garamond" w:hAnsi="Garamond"/>
          <w:sz w:val="24"/>
          <w:szCs w:val="24"/>
        </w:rPr>
        <w:t xml:space="preserve"> </w:t>
      </w:r>
      <w:proofErr w:type="gramStart"/>
      <w:r w:rsidRPr="009D4F46">
        <w:rPr>
          <w:rFonts w:ascii="Garamond" w:hAnsi="Garamond"/>
          <w:sz w:val="24"/>
          <w:szCs w:val="24"/>
        </w:rPr>
        <w:t>Terdapat peluang umum bahwa gerakan berorientasi identitas dan aksi kolektif adalah ekspresi manusia dalam mencari identitas, otonomi, dan pengakuan.</w:t>
      </w:r>
      <w:proofErr w:type="gramEnd"/>
      <w:r w:rsidRPr="009D4F46">
        <w:rPr>
          <w:rFonts w:ascii="Garamond" w:hAnsi="Garamond"/>
          <w:sz w:val="24"/>
          <w:szCs w:val="24"/>
        </w:rPr>
        <w:t xml:space="preserve"> Tokoh yang mendukung paradigma ini salah satunya adalah Pizzorno dalam buku Political Exchange and Collective Identity in Industrial Conflict (1978), menurutnya Para aktor sosial dalam GSB mencari identitas dan pengakuan melalui aksi ekspresif, melalui tuntutan universalistik dan tak dapat ditawar. Partisipasi langsung para aktor pada rentang yang sama mengakui kolektivitas berarti hasilnya tuntutan mereka bisa dinegosiasikan dan karakter partisipasinya jadi terwakilkan dan lebih representasional </w:t>
      </w:r>
      <w:r w:rsidRPr="009D4F46">
        <w:rPr>
          <w:rFonts w:ascii="Garamond" w:hAnsi="Garamond"/>
          <w:sz w:val="24"/>
          <w:szCs w:val="24"/>
        </w:rPr>
        <w:fldChar w:fldCharType="begin" w:fldLock="1"/>
      </w:r>
      <w:r w:rsidRPr="009D4F46">
        <w:rPr>
          <w:rFonts w:ascii="Garamond" w:hAnsi="Garamond"/>
          <w:sz w:val="24"/>
          <w:szCs w:val="24"/>
        </w:rPr>
        <w:instrText>ADDIN CSL_CITATION { "citationItems" : [ { "id" : "ITEM-1", "itemData" : { "ISBN" : "9786021859780", "author" : [ { "dropping-particle" : "", "family" : "Rusmanto", "given" : "Joni", "non-dropping-particle" : "", "parse-names" : false, "suffix" : "" } ], "id" : "ITEM-1", "issue" : "April", "issued" : { "date-parts" : [ [ "2018" ] ] }, "title" : "GERAKAN SOSIAL, Sejarah Perkembangan Teori antara Kekuatan dan Kelemahan", "type" : "book" }, "uris" : [ "http://www.mendeley.com/documents/?uuid=c911025d-2c99-4cda-af68-98bf647b0209" ] } ], "mendeley" : { "formattedCitation" : "(Rusmanto, 2018)", "plainTextFormattedCitation" : "(Rusmanto, 2018)", "previouslyFormattedCitation" : "(Rusmanto, 2018)" }, "properties" : {  }, "schema" : "https://github.com/citation-style-language/schema/raw/master/csl-citation.json" }</w:instrText>
      </w:r>
      <w:r w:rsidRPr="009D4F46">
        <w:rPr>
          <w:rFonts w:ascii="Garamond" w:hAnsi="Garamond"/>
          <w:sz w:val="24"/>
          <w:szCs w:val="24"/>
        </w:rPr>
        <w:fldChar w:fldCharType="separate"/>
      </w:r>
      <w:r w:rsidRPr="009D4F46">
        <w:rPr>
          <w:rFonts w:ascii="Garamond" w:hAnsi="Garamond"/>
          <w:noProof/>
          <w:sz w:val="24"/>
          <w:szCs w:val="24"/>
        </w:rPr>
        <w:t>(Rusmanto, 2018)</w:t>
      </w:r>
      <w:r w:rsidRPr="009D4F46">
        <w:rPr>
          <w:rFonts w:ascii="Garamond" w:hAnsi="Garamond"/>
          <w:sz w:val="24"/>
          <w:szCs w:val="24"/>
        </w:rPr>
        <w:fldChar w:fldCharType="end"/>
      </w:r>
      <w:r w:rsidRPr="009D4F46">
        <w:rPr>
          <w:rFonts w:ascii="Garamond" w:hAnsi="Garamond"/>
          <w:sz w:val="24"/>
          <w:szCs w:val="24"/>
        </w:rPr>
        <w:t>.</w:t>
      </w:r>
    </w:p>
    <w:p w:rsidR="006C77D9" w:rsidRPr="009D4F46" w:rsidRDefault="006C77D9" w:rsidP="006C77D9">
      <w:pPr>
        <w:pStyle w:val="ListParagraph"/>
        <w:spacing w:after="0" w:line="360" w:lineRule="auto"/>
        <w:ind w:left="0" w:firstLine="720"/>
        <w:jc w:val="both"/>
        <w:rPr>
          <w:rFonts w:ascii="Garamond" w:eastAsia="Times New Roman" w:hAnsi="Garamond"/>
          <w:sz w:val="24"/>
          <w:szCs w:val="24"/>
        </w:rPr>
      </w:pPr>
      <w:r w:rsidRPr="009D4F46">
        <w:rPr>
          <w:rFonts w:ascii="Garamond" w:eastAsia="Times New Roman" w:hAnsi="Garamond"/>
          <w:sz w:val="24"/>
          <w:szCs w:val="24"/>
        </w:rPr>
        <w:t>Kelebihan dari perspektif paradigma berorientasi identitas, yaitu:</w:t>
      </w:r>
    </w:p>
    <w:p w:rsidR="006C77D9" w:rsidRPr="009D4F46" w:rsidRDefault="006C77D9" w:rsidP="006C77D9">
      <w:pPr>
        <w:pStyle w:val="ListParagraph"/>
        <w:numPr>
          <w:ilvl w:val="0"/>
          <w:numId w:val="14"/>
        </w:numPr>
        <w:spacing w:after="0" w:line="360" w:lineRule="auto"/>
        <w:jc w:val="both"/>
        <w:rPr>
          <w:rFonts w:ascii="Garamond" w:hAnsi="Garamond"/>
          <w:sz w:val="24"/>
          <w:szCs w:val="24"/>
        </w:rPr>
      </w:pPr>
      <w:r w:rsidRPr="009D4F46">
        <w:rPr>
          <w:rFonts w:ascii="Garamond" w:eastAsia="Times New Roman" w:hAnsi="Garamond"/>
          <w:sz w:val="24"/>
          <w:szCs w:val="24"/>
        </w:rPr>
        <w:t>Secara umum, mendeskripsikan sebagian eskpresi kuat dari gerakan sosial baru di masyarakat modern yang banyak mengalami perubahan dalam mengungkapkan sesuatu</w:t>
      </w:r>
    </w:p>
    <w:p w:rsidR="006C77D9" w:rsidRPr="009D4F46" w:rsidRDefault="006C77D9" w:rsidP="006C77D9">
      <w:pPr>
        <w:pStyle w:val="ListParagraph"/>
        <w:numPr>
          <w:ilvl w:val="0"/>
          <w:numId w:val="14"/>
        </w:numPr>
        <w:spacing w:after="0" w:line="360" w:lineRule="auto"/>
        <w:jc w:val="both"/>
        <w:rPr>
          <w:rFonts w:ascii="Garamond" w:hAnsi="Garamond"/>
          <w:sz w:val="24"/>
          <w:szCs w:val="24"/>
        </w:rPr>
      </w:pPr>
      <w:r w:rsidRPr="009D4F46">
        <w:rPr>
          <w:rFonts w:ascii="Garamond" w:eastAsia="Times New Roman" w:hAnsi="Garamond"/>
          <w:sz w:val="24"/>
          <w:szCs w:val="24"/>
        </w:rPr>
        <w:t>Ekspresi tatanan gerakan sosial baru melalui pandangan kelas dan mengurangi batasan kondisi material</w:t>
      </w:r>
    </w:p>
    <w:p w:rsidR="006C77D9" w:rsidRPr="009D4F46" w:rsidRDefault="006C77D9" w:rsidP="006C77D9">
      <w:pPr>
        <w:pStyle w:val="ListParagraph"/>
        <w:numPr>
          <w:ilvl w:val="0"/>
          <w:numId w:val="14"/>
        </w:numPr>
        <w:spacing w:after="0" w:line="360" w:lineRule="auto"/>
        <w:jc w:val="both"/>
        <w:rPr>
          <w:rFonts w:ascii="Garamond" w:hAnsi="Garamond"/>
          <w:sz w:val="24"/>
          <w:szCs w:val="24"/>
        </w:rPr>
      </w:pPr>
      <w:r w:rsidRPr="009D4F46">
        <w:rPr>
          <w:rFonts w:ascii="Garamond" w:eastAsia="Times New Roman" w:hAnsi="Garamond"/>
          <w:sz w:val="24"/>
          <w:szCs w:val="24"/>
        </w:rPr>
        <w:t>Perilaku ekspresif menjadi fokus perhatian</w:t>
      </w:r>
    </w:p>
    <w:p w:rsidR="006C77D9" w:rsidRPr="009D4F46" w:rsidRDefault="006C77D9" w:rsidP="006C77D9">
      <w:pPr>
        <w:pStyle w:val="ListParagraph"/>
        <w:numPr>
          <w:ilvl w:val="0"/>
          <w:numId w:val="14"/>
        </w:numPr>
        <w:spacing w:after="0" w:line="360" w:lineRule="auto"/>
        <w:jc w:val="both"/>
        <w:rPr>
          <w:rFonts w:ascii="Garamond" w:hAnsi="Garamond"/>
          <w:sz w:val="24"/>
          <w:szCs w:val="24"/>
        </w:rPr>
      </w:pPr>
      <w:r w:rsidRPr="009D4F46">
        <w:rPr>
          <w:rFonts w:ascii="Garamond" w:eastAsia="Times New Roman" w:hAnsi="Garamond"/>
          <w:sz w:val="24"/>
          <w:szCs w:val="24"/>
        </w:rPr>
        <w:t>Secara substantif, peran dan posisi aktor-aktor modern bersama-sama berjuang dengan sadar dalam memerangi kekuasaan sosial dalam menciptakan identitas baru dan ruang demokratis aksi sosial yang lebih bebas</w:t>
      </w:r>
    </w:p>
    <w:p w:rsidR="006C77D9" w:rsidRPr="009D4F46" w:rsidRDefault="006C77D9" w:rsidP="006C77D9">
      <w:pPr>
        <w:pStyle w:val="ListParagraph"/>
        <w:numPr>
          <w:ilvl w:val="0"/>
          <w:numId w:val="14"/>
        </w:numPr>
        <w:spacing w:after="0" w:line="360" w:lineRule="auto"/>
        <w:jc w:val="both"/>
        <w:rPr>
          <w:rFonts w:ascii="Garamond" w:hAnsi="Garamond"/>
          <w:sz w:val="24"/>
          <w:szCs w:val="24"/>
        </w:rPr>
      </w:pPr>
      <w:r w:rsidRPr="009D4F46">
        <w:rPr>
          <w:rFonts w:ascii="Garamond" w:eastAsia="Times New Roman" w:hAnsi="Garamond"/>
          <w:sz w:val="24"/>
          <w:szCs w:val="24"/>
        </w:rPr>
        <w:t>Secara khusus, gerakan sosial baru meletakkan posisi pribadi sebagai kebersamaan yang bebas, manusia bebas dalam mengubah identitas dan mencari makna baru bagi identitasnya</w:t>
      </w:r>
    </w:p>
    <w:p w:rsidR="006C77D9" w:rsidRPr="009D4F46" w:rsidRDefault="006C77D9" w:rsidP="006C77D9">
      <w:pPr>
        <w:pStyle w:val="ListParagraph"/>
        <w:spacing w:after="0" w:line="360" w:lineRule="auto"/>
        <w:ind w:left="360"/>
        <w:jc w:val="both"/>
        <w:rPr>
          <w:rFonts w:ascii="Garamond" w:hAnsi="Garamond"/>
          <w:sz w:val="24"/>
          <w:szCs w:val="24"/>
        </w:rPr>
      </w:pPr>
      <w:r w:rsidRPr="009D4F46">
        <w:rPr>
          <w:rFonts w:ascii="Garamond" w:hAnsi="Garamond"/>
          <w:sz w:val="24"/>
          <w:szCs w:val="24"/>
        </w:rPr>
        <w:fldChar w:fldCharType="begin" w:fldLock="1"/>
      </w:r>
      <w:r w:rsidRPr="009D4F46">
        <w:rPr>
          <w:rFonts w:ascii="Garamond" w:hAnsi="Garamond"/>
          <w:sz w:val="24"/>
          <w:szCs w:val="24"/>
        </w:rPr>
        <w:instrText>ADDIN CSL_CITATION { "citationItems" : [ { "id" : "ITEM-1", "itemData" : { "ISBN" : "9786021859780", "author" : [ { "dropping-particle" : "", "family" : "Rusmanto", "given" : "Joni", "non-dropping-particle" : "", "parse-names" : false, "suffix" : "" } ], "id" : "ITEM-1", "issue" : "April", "issued" : { "date-parts" : [ [ "2018" ] ] }, "title" : "GERAKAN SOSIAL, Sejarah Perkembangan Teori antara Kekuatan dan Kelemahan", "type" : "book" }, "uris" : [ "http://www.mendeley.com/documents/?uuid=c911025d-2c99-4cda-af68-98bf647b0209" ] } ], "mendeley" : { "formattedCitation" : "(Rusmanto, 2018)", "plainTextFormattedCitation" : "(Rusmanto, 2018)", "previouslyFormattedCitation" : "(Rusmanto, 2018)" }, "properties" : {  }, "schema" : "https://github.com/citation-style-language/schema/raw/master/csl-citation.json" }</w:instrText>
      </w:r>
      <w:r w:rsidRPr="009D4F46">
        <w:rPr>
          <w:rFonts w:ascii="Garamond" w:hAnsi="Garamond"/>
          <w:sz w:val="24"/>
          <w:szCs w:val="24"/>
        </w:rPr>
        <w:fldChar w:fldCharType="separate"/>
      </w:r>
      <w:r w:rsidRPr="009D4F46">
        <w:rPr>
          <w:rFonts w:ascii="Garamond" w:hAnsi="Garamond"/>
          <w:noProof/>
          <w:sz w:val="24"/>
          <w:szCs w:val="24"/>
        </w:rPr>
        <w:t>(Rusmanto, 2018)</w:t>
      </w:r>
      <w:r w:rsidRPr="009D4F46">
        <w:rPr>
          <w:rFonts w:ascii="Garamond" w:hAnsi="Garamond"/>
          <w:sz w:val="24"/>
          <w:szCs w:val="24"/>
        </w:rPr>
        <w:fldChar w:fldCharType="end"/>
      </w:r>
    </w:p>
    <w:p w:rsidR="00AC1E55" w:rsidRDefault="00AC1E55" w:rsidP="00AC1E55">
      <w:pPr>
        <w:spacing w:after="0" w:line="360" w:lineRule="auto"/>
        <w:ind w:firstLine="720"/>
        <w:jc w:val="both"/>
        <w:rPr>
          <w:rFonts w:ascii="Garamond" w:eastAsia="Times New Roman" w:hAnsi="Garamond" w:cs="Times New Roman"/>
          <w:sz w:val="24"/>
          <w:szCs w:val="24"/>
        </w:rPr>
      </w:pPr>
      <w:proofErr w:type="gramStart"/>
      <w:r w:rsidRPr="009D4F46">
        <w:rPr>
          <w:rFonts w:ascii="Garamond" w:eastAsia="Times New Roman" w:hAnsi="Garamond" w:cs="Times New Roman"/>
          <w:sz w:val="24"/>
          <w:szCs w:val="24"/>
        </w:rPr>
        <w:t>Paradigma berorientasi identitas dalam gerakan sosial baru (GSB) menitikberatkan pada keterlibatan para aktor dan aksi kolektif, yang keduanya memiliki hubungan timbal balik dalam melahirkan tindakan baru.</w:t>
      </w:r>
      <w:proofErr w:type="gramEnd"/>
    </w:p>
    <w:p w:rsidR="009D4F46" w:rsidRDefault="009D4F46" w:rsidP="00AC1E55">
      <w:pPr>
        <w:spacing w:after="0" w:line="360" w:lineRule="auto"/>
        <w:ind w:firstLine="720"/>
        <w:jc w:val="both"/>
        <w:rPr>
          <w:rFonts w:ascii="Garamond" w:eastAsia="Times New Roman" w:hAnsi="Garamond" w:cs="Times New Roman"/>
          <w:sz w:val="24"/>
          <w:szCs w:val="24"/>
        </w:rPr>
      </w:pPr>
    </w:p>
    <w:p w:rsidR="009D4F46" w:rsidRPr="009D4F46" w:rsidRDefault="009D4F46" w:rsidP="00AC1E55">
      <w:pPr>
        <w:spacing w:after="0" w:line="360" w:lineRule="auto"/>
        <w:ind w:firstLine="720"/>
        <w:jc w:val="both"/>
        <w:rPr>
          <w:rFonts w:ascii="Garamond" w:hAnsi="Garamond" w:cs="Times New Roman"/>
          <w:sz w:val="24"/>
          <w:szCs w:val="24"/>
        </w:rPr>
      </w:pPr>
    </w:p>
    <w:p w:rsidR="00D4564E" w:rsidRPr="009D4F46" w:rsidRDefault="004956DA" w:rsidP="00D4564E">
      <w:pPr>
        <w:pStyle w:val="ListParagraph"/>
        <w:numPr>
          <w:ilvl w:val="0"/>
          <w:numId w:val="5"/>
        </w:numPr>
        <w:spacing w:after="0" w:line="360" w:lineRule="auto"/>
        <w:jc w:val="both"/>
        <w:rPr>
          <w:rFonts w:ascii="Garamond" w:hAnsi="Garamond"/>
          <w:b/>
          <w:sz w:val="24"/>
          <w:szCs w:val="24"/>
        </w:rPr>
      </w:pPr>
      <w:r w:rsidRPr="009D4F46">
        <w:rPr>
          <w:rFonts w:ascii="Garamond" w:hAnsi="Garamond"/>
          <w:b/>
          <w:sz w:val="24"/>
          <w:szCs w:val="24"/>
        </w:rPr>
        <w:lastRenderedPageBreak/>
        <w:t>Milenial</w:t>
      </w:r>
    </w:p>
    <w:p w:rsidR="009743CE" w:rsidRPr="009D4F46" w:rsidRDefault="009743CE" w:rsidP="00D4564E">
      <w:pPr>
        <w:spacing w:after="0" w:line="360" w:lineRule="auto"/>
        <w:ind w:firstLine="360"/>
        <w:jc w:val="both"/>
        <w:rPr>
          <w:rFonts w:ascii="Garamond" w:hAnsi="Garamond" w:cs="Times New Roman"/>
          <w:b/>
          <w:sz w:val="28"/>
          <w:szCs w:val="24"/>
        </w:rPr>
      </w:pPr>
      <w:r w:rsidRPr="009D4F46">
        <w:rPr>
          <w:rFonts w:ascii="Garamond" w:hAnsi="Garamond" w:cs="Times New Roman"/>
          <w:sz w:val="24"/>
        </w:rPr>
        <w:t xml:space="preserve">Sejarah milenial pertama kali dicetuskan oleh William Strauss dan Neil dalam bukunya yangberjudul Millennials Rising: The Next Great Generation (2000). </w:t>
      </w:r>
      <w:proofErr w:type="gramStart"/>
      <w:r w:rsidRPr="009D4F46">
        <w:rPr>
          <w:rFonts w:ascii="Garamond" w:hAnsi="Garamond" w:cs="Times New Roman"/>
          <w:sz w:val="24"/>
        </w:rPr>
        <w:t>Istilah ini diciptakan pada tahun 1987, ketika anak-anak yang lahir pada tahun 1982 masuk pra-sekolah.</w:t>
      </w:r>
      <w:proofErr w:type="gramEnd"/>
      <w:r w:rsidRPr="009D4F46">
        <w:rPr>
          <w:rFonts w:ascii="Garamond" w:hAnsi="Garamond" w:cs="Times New Roman"/>
          <w:sz w:val="24"/>
        </w:rPr>
        <w:t xml:space="preserve"> </w:t>
      </w:r>
      <w:proofErr w:type="gramStart"/>
      <w:r w:rsidRPr="009D4F46">
        <w:rPr>
          <w:rFonts w:ascii="Garamond" w:hAnsi="Garamond" w:cs="Times New Roman"/>
          <w:sz w:val="24"/>
        </w:rPr>
        <w:t>Saat itu media mulai menyebut sebagai kelompok yang terhubung ke millennium baru di saat SMA di tahun 2000.</w:t>
      </w:r>
      <w:proofErr w:type="gramEnd"/>
      <w:r w:rsidRPr="009D4F46">
        <w:rPr>
          <w:rFonts w:ascii="Garamond" w:hAnsi="Garamond" w:cs="Times New Roman"/>
          <w:sz w:val="24"/>
        </w:rPr>
        <w:t xml:space="preserve"> Selain pendapat tersebut, pendapat lain oleh Elwood Carlson dalam bukunya yang berjudul The Lucky Few: Between the Greatest Generation and the Baby Boom (2008), generasi milenial adalah mereka yang lahir dalam rentang tahun 1983 sampai dengan 2001. Sedangkan Hasanuddin Ali dan Lilik Purwandi (2017) dalam bukunya Millennial Nusantara menyebutkan bahwa Generasi milenial adalah mereka yang lahir antara tahun 1981 sampai dengan tahun 2000</w:t>
      </w:r>
      <w:r w:rsidR="00C84C89" w:rsidRPr="009D4F46">
        <w:rPr>
          <w:rFonts w:ascii="Garamond" w:hAnsi="Garamond" w:cs="Times New Roman"/>
          <w:sz w:val="24"/>
        </w:rPr>
        <w:t xml:space="preserve"> </w:t>
      </w:r>
      <w:r w:rsidR="00C84C89" w:rsidRPr="009D4F46">
        <w:rPr>
          <w:rFonts w:ascii="Garamond" w:hAnsi="Garamond" w:cs="Times New Roman"/>
          <w:sz w:val="24"/>
        </w:rPr>
        <w:fldChar w:fldCharType="begin" w:fldLock="1"/>
      </w:r>
      <w:r w:rsidR="00C84C89" w:rsidRPr="009D4F46">
        <w:rPr>
          <w:rFonts w:ascii="Garamond" w:hAnsi="Garamond" w:cs="Times New Roman"/>
          <w:sz w:val="24"/>
        </w:rPr>
        <w:instrText>ADDIN CSL_CITATION { "citationItems" : [ { "id" : "ITEM-1", "itemData" : { "author" : [ { "dropping-particle" : "", "family" : "Budiati", "given" : "I. (dkk)", "non-dropping-particle" : "", "parse-names" : false, "suffix" : "" } ], "editor" : [ { "dropping-particle" : "", "family" : "Said, A., Budiati, I., Rahayu, T. R. B., &amp; Raharjo", "given" : "A. P.", "non-dropping-particle" : "", "parse-names" : false, "suffix" : "" } ], "id" : "ITEM-1", "issued" : { "date-parts" : [ [ "2018" ] ] }, "number-of-pages" : "153", "publisher" : "\u00a9 Kementerian Pemberdayaan Perempuan dan Perlindungan Anak", "publisher-place" : "Jakarta", "title" : "Statistik Gender Tematik: Profil Generasi Milenial Indonesia", "type" : "book" }, "uris" : [ "http://www.mendeley.com/documents/?uuid=9fd44a99-06f2-4c81-bcf7-a9aaf9a576af" ] } ], "mendeley" : { "formattedCitation" : "(Budiati, 2018)", "plainTextFormattedCitation" : "(Budiati, 2018)", "previouslyFormattedCitation" : "(Budiati, 2018)" }, "properties" : {  }, "schema" : "https://github.com/citation-style-language/schema/raw/master/csl-citation.json" }</w:instrText>
      </w:r>
      <w:r w:rsidR="00C84C89" w:rsidRPr="009D4F46">
        <w:rPr>
          <w:rFonts w:ascii="Garamond" w:hAnsi="Garamond" w:cs="Times New Roman"/>
          <w:sz w:val="24"/>
        </w:rPr>
        <w:fldChar w:fldCharType="separate"/>
      </w:r>
      <w:r w:rsidR="00C84C89" w:rsidRPr="009D4F46">
        <w:rPr>
          <w:rFonts w:ascii="Garamond" w:hAnsi="Garamond" w:cs="Times New Roman"/>
          <w:noProof/>
          <w:sz w:val="24"/>
        </w:rPr>
        <w:t>(Budiati, 2018)</w:t>
      </w:r>
      <w:r w:rsidR="00C84C89" w:rsidRPr="009D4F46">
        <w:rPr>
          <w:rFonts w:ascii="Garamond" w:hAnsi="Garamond" w:cs="Times New Roman"/>
          <w:sz w:val="24"/>
        </w:rPr>
        <w:fldChar w:fldCharType="end"/>
      </w:r>
      <w:r w:rsidR="00732090" w:rsidRPr="009D4F46">
        <w:rPr>
          <w:rFonts w:ascii="Garamond" w:hAnsi="Garamond" w:cs="Times New Roman"/>
          <w:sz w:val="24"/>
        </w:rPr>
        <w:t>.</w:t>
      </w:r>
    </w:p>
    <w:p w:rsidR="001B7A30" w:rsidRPr="009D4F46" w:rsidRDefault="001B7A30" w:rsidP="00D4564E">
      <w:pPr>
        <w:spacing w:after="0" w:line="360" w:lineRule="auto"/>
        <w:jc w:val="both"/>
        <w:rPr>
          <w:rFonts w:ascii="Garamond" w:hAnsi="Garamond" w:cs="Times New Roman"/>
          <w:b/>
          <w:sz w:val="24"/>
          <w:szCs w:val="24"/>
        </w:rPr>
      </w:pPr>
      <w:r w:rsidRPr="009D4F46">
        <w:rPr>
          <w:rFonts w:ascii="Garamond" w:hAnsi="Garamond" w:cs="Times New Roman"/>
          <w:b/>
          <w:sz w:val="24"/>
          <w:szCs w:val="24"/>
        </w:rPr>
        <w:t>Ciri-ciri Generasi Milenial</w:t>
      </w:r>
    </w:p>
    <w:p w:rsidR="006C77D9" w:rsidRPr="009D4F46" w:rsidRDefault="001B7A30" w:rsidP="00C84C89">
      <w:pPr>
        <w:spacing w:after="0" w:line="360" w:lineRule="auto"/>
        <w:jc w:val="both"/>
        <w:rPr>
          <w:rFonts w:ascii="Garamond" w:hAnsi="Garamond" w:cs="Times New Roman"/>
          <w:b/>
          <w:sz w:val="24"/>
          <w:szCs w:val="24"/>
        </w:rPr>
      </w:pPr>
      <w:r w:rsidRPr="009D4F46">
        <w:rPr>
          <w:rFonts w:ascii="Garamond" w:hAnsi="Garamond" w:cs="Times New Roman"/>
          <w:sz w:val="24"/>
          <w:szCs w:val="24"/>
        </w:rPr>
        <w:t>Berikut siapa sa</w:t>
      </w:r>
      <w:r w:rsidR="00732090" w:rsidRPr="009D4F46">
        <w:rPr>
          <w:rFonts w:ascii="Garamond" w:hAnsi="Garamond" w:cs="Times New Roman"/>
          <w:sz w:val="24"/>
          <w:szCs w:val="24"/>
        </w:rPr>
        <w:t>ja generasi milenial, diantarany</w:t>
      </w:r>
      <w:r w:rsidRPr="009D4F46">
        <w:rPr>
          <w:rFonts w:ascii="Garamond" w:hAnsi="Garamond" w:cs="Times New Roman"/>
          <w:sz w:val="24"/>
          <w:szCs w:val="24"/>
        </w:rPr>
        <w:t>a memiliki ciri-ciri berikut:</w:t>
      </w:r>
    </w:p>
    <w:p w:rsidR="00732090" w:rsidRPr="009D4F46" w:rsidRDefault="006C77D9" w:rsidP="00732090">
      <w:pPr>
        <w:pStyle w:val="ListParagraph"/>
        <w:numPr>
          <w:ilvl w:val="0"/>
          <w:numId w:val="16"/>
        </w:numPr>
        <w:spacing w:after="0" w:line="360" w:lineRule="auto"/>
        <w:jc w:val="both"/>
        <w:rPr>
          <w:rFonts w:ascii="Garamond" w:eastAsiaTheme="minorHAnsi" w:hAnsi="Garamond"/>
          <w:b/>
          <w:sz w:val="24"/>
          <w:szCs w:val="24"/>
        </w:rPr>
      </w:pPr>
      <w:r w:rsidRPr="009D4F46">
        <w:rPr>
          <w:rFonts w:ascii="Garamond" w:eastAsia="Times New Roman" w:hAnsi="Garamond"/>
          <w:sz w:val="24"/>
          <w:szCs w:val="24"/>
        </w:rPr>
        <w:t>Penggunaan komunikasi, media, dan teknologi digital semakin meningkat dan akrab</w:t>
      </w:r>
    </w:p>
    <w:p w:rsidR="00732090" w:rsidRPr="009D4F46" w:rsidRDefault="006C77D9" w:rsidP="00732090">
      <w:pPr>
        <w:pStyle w:val="ListParagraph"/>
        <w:numPr>
          <w:ilvl w:val="0"/>
          <w:numId w:val="16"/>
        </w:numPr>
        <w:spacing w:after="0" w:line="360" w:lineRule="auto"/>
        <w:jc w:val="both"/>
        <w:rPr>
          <w:rFonts w:ascii="Garamond" w:eastAsiaTheme="minorHAnsi" w:hAnsi="Garamond"/>
          <w:b/>
          <w:sz w:val="24"/>
          <w:szCs w:val="24"/>
        </w:rPr>
      </w:pPr>
      <w:r w:rsidRPr="009D4F46">
        <w:rPr>
          <w:rFonts w:ascii="Garamond" w:eastAsia="Times New Roman" w:hAnsi="Garamond"/>
          <w:sz w:val="24"/>
          <w:szCs w:val="24"/>
        </w:rPr>
        <w:t>Kualitas pendidikan yang lebih unggul</w:t>
      </w:r>
    </w:p>
    <w:p w:rsidR="00732090" w:rsidRPr="009D4F46" w:rsidRDefault="006C77D9" w:rsidP="00732090">
      <w:pPr>
        <w:pStyle w:val="ListParagraph"/>
        <w:numPr>
          <w:ilvl w:val="0"/>
          <w:numId w:val="16"/>
        </w:numPr>
        <w:spacing w:after="0" w:line="360" w:lineRule="auto"/>
        <w:jc w:val="both"/>
        <w:rPr>
          <w:rFonts w:ascii="Garamond" w:eastAsiaTheme="minorHAnsi" w:hAnsi="Garamond"/>
          <w:b/>
          <w:sz w:val="24"/>
          <w:szCs w:val="24"/>
        </w:rPr>
      </w:pPr>
      <w:r w:rsidRPr="009D4F46">
        <w:rPr>
          <w:rFonts w:ascii="Garamond" w:eastAsia="Times New Roman" w:hAnsi="Garamond"/>
          <w:sz w:val="24"/>
          <w:szCs w:val="24"/>
        </w:rPr>
        <w:t>Kelahiran tahun 1980-2000</w:t>
      </w:r>
    </w:p>
    <w:p w:rsidR="00732090" w:rsidRPr="009D4F46" w:rsidRDefault="006C77D9" w:rsidP="00732090">
      <w:pPr>
        <w:pStyle w:val="ListParagraph"/>
        <w:numPr>
          <w:ilvl w:val="0"/>
          <w:numId w:val="16"/>
        </w:numPr>
        <w:spacing w:after="0" w:line="360" w:lineRule="auto"/>
        <w:jc w:val="both"/>
        <w:rPr>
          <w:rFonts w:ascii="Garamond" w:eastAsiaTheme="minorHAnsi" w:hAnsi="Garamond"/>
          <w:b/>
          <w:sz w:val="24"/>
          <w:szCs w:val="24"/>
        </w:rPr>
      </w:pPr>
      <w:r w:rsidRPr="009D4F46">
        <w:rPr>
          <w:rFonts w:ascii="Garamond" w:eastAsia="Times New Roman" w:hAnsi="Garamond"/>
          <w:sz w:val="24"/>
          <w:szCs w:val="24"/>
        </w:rPr>
        <w:t>Akrab dengan sosial media</w:t>
      </w:r>
    </w:p>
    <w:p w:rsidR="00732090" w:rsidRPr="009D4F46" w:rsidRDefault="006C77D9" w:rsidP="00732090">
      <w:pPr>
        <w:pStyle w:val="ListParagraph"/>
        <w:numPr>
          <w:ilvl w:val="0"/>
          <w:numId w:val="16"/>
        </w:numPr>
        <w:spacing w:after="0" w:line="360" w:lineRule="auto"/>
        <w:jc w:val="both"/>
        <w:rPr>
          <w:rFonts w:ascii="Garamond" w:eastAsiaTheme="minorHAnsi" w:hAnsi="Garamond"/>
          <w:b/>
          <w:sz w:val="24"/>
          <w:szCs w:val="24"/>
        </w:rPr>
      </w:pPr>
      <w:r w:rsidRPr="009D4F46">
        <w:rPr>
          <w:rFonts w:ascii="Garamond" w:eastAsia="Times New Roman" w:hAnsi="Garamond"/>
          <w:sz w:val="24"/>
          <w:szCs w:val="24"/>
        </w:rPr>
        <w:t>Kreatif, efisien, produktif, dan memiliki kegemaran</w:t>
      </w:r>
    </w:p>
    <w:p w:rsidR="00732090" w:rsidRPr="009D4F46" w:rsidRDefault="006C77D9" w:rsidP="00732090">
      <w:pPr>
        <w:pStyle w:val="ListParagraph"/>
        <w:numPr>
          <w:ilvl w:val="0"/>
          <w:numId w:val="16"/>
        </w:numPr>
        <w:spacing w:after="0" w:line="360" w:lineRule="auto"/>
        <w:jc w:val="both"/>
        <w:rPr>
          <w:rFonts w:ascii="Garamond" w:eastAsiaTheme="minorHAnsi" w:hAnsi="Garamond"/>
          <w:b/>
          <w:sz w:val="24"/>
          <w:szCs w:val="24"/>
        </w:rPr>
      </w:pPr>
      <w:r w:rsidRPr="009D4F46">
        <w:rPr>
          <w:rFonts w:ascii="Garamond" w:eastAsia="Times New Roman" w:hAnsi="Garamond"/>
          <w:sz w:val="24"/>
          <w:szCs w:val="24"/>
        </w:rPr>
        <w:t>Ingin serba cepat dan dinamis</w:t>
      </w:r>
    </w:p>
    <w:p w:rsidR="00732090" w:rsidRPr="009D4F46" w:rsidRDefault="006C77D9" w:rsidP="00732090">
      <w:pPr>
        <w:pStyle w:val="ListParagraph"/>
        <w:numPr>
          <w:ilvl w:val="0"/>
          <w:numId w:val="16"/>
        </w:numPr>
        <w:spacing w:line="360" w:lineRule="auto"/>
        <w:jc w:val="both"/>
        <w:rPr>
          <w:rFonts w:ascii="Garamond" w:eastAsiaTheme="minorHAnsi" w:hAnsi="Garamond"/>
          <w:b/>
          <w:sz w:val="24"/>
          <w:szCs w:val="24"/>
        </w:rPr>
      </w:pPr>
      <w:r w:rsidRPr="009D4F46">
        <w:rPr>
          <w:rFonts w:ascii="Garamond" w:eastAsia="Times New Roman" w:hAnsi="Garamond"/>
          <w:sz w:val="24"/>
          <w:szCs w:val="24"/>
        </w:rPr>
        <w:t>Pikiran terbuka (luas), kritis, dan berani</w:t>
      </w:r>
    </w:p>
    <w:p w:rsidR="00C84C89" w:rsidRPr="009D4F46" w:rsidRDefault="00C84C89" w:rsidP="00C84C89">
      <w:pPr>
        <w:pStyle w:val="ListParagraph"/>
        <w:spacing w:line="360" w:lineRule="auto"/>
        <w:ind w:left="360"/>
        <w:jc w:val="both"/>
        <w:rPr>
          <w:rFonts w:ascii="Garamond" w:eastAsiaTheme="minorHAnsi" w:hAnsi="Garamond"/>
          <w:b/>
          <w:sz w:val="24"/>
          <w:szCs w:val="24"/>
        </w:rPr>
      </w:pPr>
      <w:r w:rsidRPr="009D4F46">
        <w:rPr>
          <w:rFonts w:ascii="Garamond" w:eastAsiaTheme="minorHAnsi" w:hAnsi="Garamond"/>
          <w:b/>
          <w:sz w:val="24"/>
          <w:szCs w:val="24"/>
        </w:rPr>
        <w:fldChar w:fldCharType="begin" w:fldLock="1"/>
      </w:r>
      <w:r w:rsidRPr="009D4F46">
        <w:rPr>
          <w:rFonts w:ascii="Garamond" w:eastAsiaTheme="minorHAnsi" w:hAnsi="Garamond"/>
          <w:b/>
          <w:sz w:val="24"/>
          <w:szCs w:val="24"/>
        </w:rPr>
        <w:instrText>ADDIN CSL_CITATION { "citationItems" : [ { "id" : "ITEM-1", "itemData" : { "author" : [ { "dropping-particle" : "", "family" : "Budiati", "given" : "I. (dkk)", "non-dropping-particle" : "", "parse-names" : false, "suffix" : "" } ], "editor" : [ { "dropping-particle" : "", "family" : "Said, A., Budiati, I., Rahayu, T. R. B., &amp; Raharjo", "given" : "A. P.", "non-dropping-particle" : "", "parse-names" : false, "suffix" : "" } ], "id" : "ITEM-1", "issued" : { "date-parts" : [ [ "2018" ] ] }, "number-of-pages" : "153", "publisher" : "\u00a9 Kementerian Pemberdayaan Perempuan dan Perlindungan Anak", "publisher-place" : "Jakarta", "title" : "Statistik Gender Tematik: Profil Generasi Milenial Indonesia", "type" : "book" }, "uris" : [ "http://www.mendeley.com/documents/?uuid=9fd44a99-06f2-4c81-bcf7-a9aaf9a576af" ] } ], "mendeley" : { "formattedCitation" : "(Budiati, 2018)", "plainTextFormattedCitation" : "(Budiati, 2018)", "previouslyFormattedCitation" : "(Budiati, 2018)" }, "properties" : {  }, "schema" : "https://github.com/citation-style-language/schema/raw/master/csl-citation.json" }</w:instrText>
      </w:r>
      <w:r w:rsidRPr="009D4F46">
        <w:rPr>
          <w:rFonts w:ascii="Garamond" w:eastAsiaTheme="minorHAnsi" w:hAnsi="Garamond"/>
          <w:b/>
          <w:sz w:val="24"/>
          <w:szCs w:val="24"/>
        </w:rPr>
        <w:fldChar w:fldCharType="separate"/>
      </w:r>
      <w:r w:rsidRPr="009D4F46">
        <w:rPr>
          <w:rFonts w:ascii="Garamond" w:eastAsiaTheme="minorHAnsi" w:hAnsi="Garamond"/>
          <w:noProof/>
          <w:sz w:val="24"/>
          <w:szCs w:val="24"/>
        </w:rPr>
        <w:t>(Budiati, 2018)</w:t>
      </w:r>
      <w:r w:rsidRPr="009D4F46">
        <w:rPr>
          <w:rFonts w:ascii="Garamond" w:eastAsiaTheme="minorHAnsi" w:hAnsi="Garamond"/>
          <w:b/>
          <w:sz w:val="24"/>
          <w:szCs w:val="24"/>
        </w:rPr>
        <w:fldChar w:fldCharType="end"/>
      </w:r>
    </w:p>
    <w:p w:rsidR="00AE1EE9" w:rsidRPr="009D4F46" w:rsidRDefault="00D4130B" w:rsidP="00AE1EE9">
      <w:pPr>
        <w:spacing w:after="0" w:line="360" w:lineRule="auto"/>
        <w:jc w:val="both"/>
        <w:rPr>
          <w:rFonts w:ascii="Garamond" w:hAnsi="Garamond" w:cs="Times New Roman"/>
          <w:b/>
          <w:sz w:val="24"/>
          <w:szCs w:val="24"/>
        </w:rPr>
      </w:pPr>
      <w:r w:rsidRPr="009D4F46">
        <w:rPr>
          <w:rFonts w:ascii="Garamond" w:hAnsi="Garamond" w:cs="Times New Roman"/>
          <w:b/>
          <w:sz w:val="24"/>
          <w:szCs w:val="24"/>
        </w:rPr>
        <w:t>METODE</w:t>
      </w:r>
    </w:p>
    <w:p w:rsidR="00D4130B" w:rsidRDefault="00A014E8" w:rsidP="00AE1EE9">
      <w:pPr>
        <w:spacing w:after="0" w:line="360" w:lineRule="auto"/>
        <w:jc w:val="both"/>
        <w:rPr>
          <w:rFonts w:ascii="Garamond" w:hAnsi="Garamond" w:cs="Times New Roman"/>
          <w:sz w:val="24"/>
          <w:szCs w:val="24"/>
        </w:rPr>
      </w:pPr>
      <w:r w:rsidRPr="009D4F46">
        <w:rPr>
          <w:rFonts w:ascii="Garamond" w:hAnsi="Garamond" w:cs="Times New Roman"/>
          <w:sz w:val="24"/>
          <w:szCs w:val="24"/>
        </w:rPr>
        <w:t xml:space="preserve">Pendekatan penelitian menggunakan studi kepustakaan yang mengumpulkan berbagai informasi dari buku referensi, hasil penelitia sebelumnya yang berguna untuk landasan teori mengenai masalah yang </w:t>
      </w:r>
      <w:proofErr w:type="gramStart"/>
      <w:r w:rsidRPr="009D4F46">
        <w:rPr>
          <w:rFonts w:ascii="Garamond" w:hAnsi="Garamond" w:cs="Times New Roman"/>
          <w:sz w:val="24"/>
          <w:szCs w:val="24"/>
        </w:rPr>
        <w:t>akan</w:t>
      </w:r>
      <w:proofErr w:type="gramEnd"/>
      <w:r w:rsidRPr="009D4F46">
        <w:rPr>
          <w:rFonts w:ascii="Garamond" w:hAnsi="Garamond" w:cs="Times New Roman"/>
          <w:sz w:val="24"/>
          <w:szCs w:val="24"/>
        </w:rPr>
        <w:t xml:space="preserve"> dikaji (Sarwono, 2006). </w:t>
      </w:r>
      <w:proofErr w:type="gramStart"/>
      <w:r w:rsidRPr="009D4F46">
        <w:rPr>
          <w:rFonts w:ascii="Garamond" w:hAnsi="Garamond" w:cs="Times New Roman"/>
          <w:sz w:val="24"/>
          <w:szCs w:val="24"/>
        </w:rPr>
        <w:t>Studi kepustakaan mempunyai teknik pengumpulan data dengan menelaah buku, literatur, catatan, dan berbagai laporan yang sesuai dengan masalah penelitian (Nazir, 1998).</w:t>
      </w:r>
      <w:proofErr w:type="gramEnd"/>
      <w:r w:rsidRPr="009D4F46">
        <w:rPr>
          <w:rFonts w:ascii="Garamond" w:hAnsi="Garamond" w:cs="Times New Roman"/>
          <w:sz w:val="24"/>
          <w:szCs w:val="24"/>
        </w:rPr>
        <w:t xml:space="preserve"> Sumber data penelitian ini diperoleh dari buku, jurnal, dan internet sesuai dengan permasalahan penelitian, terdiri dari </w:t>
      </w:r>
      <w:r w:rsidR="00AE1EE9" w:rsidRPr="009D4F46">
        <w:rPr>
          <w:rFonts w:ascii="Garamond" w:hAnsi="Garamond" w:cs="Times New Roman"/>
          <w:sz w:val="24"/>
          <w:szCs w:val="24"/>
        </w:rPr>
        <w:t>9 jurnal, 3 buku/e-book, 2 dokumen elektronik, dan 2 berita online</w:t>
      </w:r>
      <w:r w:rsidR="00CD5CE2" w:rsidRPr="009D4F46">
        <w:rPr>
          <w:rFonts w:ascii="Garamond" w:hAnsi="Garamond" w:cs="Times New Roman"/>
          <w:sz w:val="24"/>
          <w:szCs w:val="24"/>
        </w:rPr>
        <w:t xml:space="preserve"> tentang hijrah islami milenial berdasarkan paradigma berorientasi identitas.</w:t>
      </w:r>
    </w:p>
    <w:p w:rsidR="009D4F46" w:rsidRDefault="009D4F46" w:rsidP="00AE1EE9">
      <w:pPr>
        <w:spacing w:after="0" w:line="360" w:lineRule="auto"/>
        <w:jc w:val="both"/>
        <w:rPr>
          <w:rFonts w:ascii="Garamond" w:hAnsi="Garamond" w:cs="Times New Roman"/>
          <w:sz w:val="24"/>
          <w:szCs w:val="24"/>
        </w:rPr>
      </w:pPr>
    </w:p>
    <w:p w:rsidR="009D4F46" w:rsidRDefault="009D4F46" w:rsidP="00AE1EE9">
      <w:pPr>
        <w:spacing w:after="0" w:line="360" w:lineRule="auto"/>
        <w:jc w:val="both"/>
        <w:rPr>
          <w:rFonts w:ascii="Garamond" w:hAnsi="Garamond" w:cs="Times New Roman"/>
          <w:sz w:val="24"/>
          <w:szCs w:val="24"/>
        </w:rPr>
      </w:pPr>
    </w:p>
    <w:p w:rsidR="009D4F46" w:rsidRDefault="009D4F46" w:rsidP="00AE1EE9">
      <w:pPr>
        <w:spacing w:after="0" w:line="360" w:lineRule="auto"/>
        <w:jc w:val="both"/>
        <w:rPr>
          <w:rFonts w:ascii="Garamond" w:hAnsi="Garamond" w:cs="Times New Roman"/>
          <w:sz w:val="24"/>
          <w:szCs w:val="24"/>
        </w:rPr>
      </w:pPr>
    </w:p>
    <w:p w:rsidR="009D4F46" w:rsidRPr="009D4F46" w:rsidRDefault="009D4F46" w:rsidP="00AE1EE9">
      <w:pPr>
        <w:spacing w:after="0" w:line="360" w:lineRule="auto"/>
        <w:jc w:val="both"/>
        <w:rPr>
          <w:rFonts w:ascii="Garamond" w:hAnsi="Garamond" w:cs="Times New Roman"/>
          <w:b/>
          <w:sz w:val="24"/>
          <w:szCs w:val="24"/>
        </w:rPr>
      </w:pPr>
    </w:p>
    <w:p w:rsidR="00880625" w:rsidRPr="009D4F46" w:rsidRDefault="008526A6" w:rsidP="00880625">
      <w:pPr>
        <w:spacing w:after="0" w:line="360" w:lineRule="auto"/>
        <w:jc w:val="both"/>
        <w:rPr>
          <w:rFonts w:ascii="Garamond" w:hAnsi="Garamond" w:cs="Times New Roman"/>
          <w:b/>
          <w:sz w:val="24"/>
          <w:szCs w:val="24"/>
        </w:rPr>
      </w:pPr>
      <w:r w:rsidRPr="009D4F46">
        <w:rPr>
          <w:rFonts w:ascii="Garamond" w:hAnsi="Garamond" w:cs="Times New Roman"/>
          <w:b/>
          <w:sz w:val="24"/>
          <w:szCs w:val="24"/>
        </w:rPr>
        <w:lastRenderedPageBreak/>
        <w:t>PEMBAHASAN</w:t>
      </w:r>
    </w:p>
    <w:p w:rsidR="00880625" w:rsidRPr="009D4F46" w:rsidRDefault="00880625" w:rsidP="00880625">
      <w:pPr>
        <w:spacing w:after="0" w:line="360" w:lineRule="auto"/>
        <w:ind w:firstLine="720"/>
        <w:jc w:val="both"/>
        <w:rPr>
          <w:rFonts w:ascii="Garamond" w:hAnsi="Garamond" w:cs="Times New Roman"/>
          <w:b/>
          <w:sz w:val="24"/>
          <w:szCs w:val="24"/>
        </w:rPr>
      </w:pPr>
      <w:proofErr w:type="gramStart"/>
      <w:r w:rsidRPr="009D4F46">
        <w:rPr>
          <w:rFonts w:ascii="Garamond" w:hAnsi="Garamond" w:cs="Times New Roman"/>
          <w:sz w:val="24"/>
          <w:szCs w:val="24"/>
        </w:rPr>
        <w:t>Berdasarkan ketiga paradigma tersebut, paradigma yang cocok untuk dikaji dengan gerakan hijrah milenial adalah paradigma berorientasi identitas.</w:t>
      </w:r>
      <w:proofErr w:type="gramEnd"/>
      <w:r w:rsidRPr="009D4F46">
        <w:rPr>
          <w:rFonts w:ascii="Garamond" w:hAnsi="Garamond" w:cs="Times New Roman"/>
          <w:color w:val="000000" w:themeColor="text1"/>
          <w:sz w:val="24"/>
          <w:szCs w:val="24"/>
        </w:rPr>
        <w:t xml:space="preserve"> </w:t>
      </w:r>
      <w:proofErr w:type="gramStart"/>
      <w:r w:rsidRPr="009D4F46">
        <w:rPr>
          <w:rFonts w:ascii="Garamond" w:hAnsi="Garamond" w:cs="Times New Roman"/>
          <w:color w:val="000000" w:themeColor="text1"/>
          <w:sz w:val="24"/>
          <w:szCs w:val="24"/>
        </w:rPr>
        <w:t>Peneliti melakukan analisis menggunakan kelebihan dari paradigma tersebut.</w:t>
      </w:r>
      <w:proofErr w:type="gramEnd"/>
    </w:p>
    <w:p w:rsidR="00C84C89" w:rsidRPr="009D4F46" w:rsidRDefault="00C84C89" w:rsidP="00C84C89">
      <w:pPr>
        <w:pStyle w:val="ListParagraph"/>
        <w:numPr>
          <w:ilvl w:val="0"/>
          <w:numId w:val="12"/>
        </w:numPr>
        <w:spacing w:after="0" w:line="360" w:lineRule="auto"/>
        <w:jc w:val="both"/>
        <w:rPr>
          <w:rFonts w:ascii="Garamond" w:hAnsi="Garamond"/>
          <w:sz w:val="24"/>
          <w:szCs w:val="24"/>
        </w:rPr>
      </w:pPr>
      <w:r w:rsidRPr="009D4F46">
        <w:rPr>
          <w:rFonts w:ascii="Garamond" w:eastAsia="Times New Roman" w:hAnsi="Garamond"/>
          <w:sz w:val="24"/>
          <w:szCs w:val="24"/>
        </w:rPr>
        <w:t>Secara umum, mendeskripsikan sebagian eskpresi kuat dari gerakan sosial baru di masyarakat modern yang banyak mengalami perubahan dalam mengungkapkan sesuatu</w:t>
      </w:r>
    </w:p>
    <w:p w:rsidR="00880625" w:rsidRPr="009D4F46" w:rsidRDefault="00880625" w:rsidP="003F14DF">
      <w:pPr>
        <w:spacing w:after="0" w:line="360" w:lineRule="auto"/>
        <w:ind w:left="360" w:firstLine="720"/>
        <w:jc w:val="both"/>
        <w:rPr>
          <w:rFonts w:ascii="Garamond" w:hAnsi="Garamond"/>
          <w:color w:val="000000" w:themeColor="text1"/>
          <w:sz w:val="24"/>
          <w:szCs w:val="24"/>
        </w:rPr>
      </w:pPr>
      <w:r w:rsidRPr="009D4F46">
        <w:rPr>
          <w:rFonts w:ascii="Garamond" w:hAnsi="Garamond"/>
          <w:color w:val="000000" w:themeColor="text1"/>
          <w:sz w:val="24"/>
          <w:szCs w:val="24"/>
        </w:rPr>
        <w:t xml:space="preserve">Fenomena hijrah islami milenial, ekspresi yang timbul adalah ekspresi kuat dalam </w:t>
      </w:r>
      <w:r w:rsidRPr="009D4F46">
        <w:rPr>
          <w:rFonts w:ascii="Garamond" w:hAnsi="Garamond" w:cs="Times New Roman"/>
          <w:color w:val="000000" w:themeColor="text1"/>
          <w:sz w:val="24"/>
          <w:szCs w:val="24"/>
        </w:rPr>
        <w:t>perkembangan hijrah islami di Indonesia, diantaranya</w:t>
      </w:r>
      <w:r w:rsidR="00E75617" w:rsidRPr="009D4F46">
        <w:rPr>
          <w:rFonts w:ascii="Garamond" w:hAnsi="Garamond" w:cs="Times New Roman"/>
          <w:color w:val="000000" w:themeColor="text1"/>
          <w:sz w:val="24"/>
          <w:szCs w:val="24"/>
        </w:rPr>
        <w:t>:</w:t>
      </w:r>
      <w:r w:rsidRPr="009D4F46">
        <w:rPr>
          <w:rFonts w:ascii="Garamond" w:hAnsi="Garamond" w:cs="Times New Roman"/>
          <w:color w:val="000000" w:themeColor="text1"/>
          <w:sz w:val="24"/>
          <w:szCs w:val="24"/>
        </w:rPr>
        <w:t xml:space="preserve"> (1) Banyaknya artis atau </w:t>
      </w:r>
      <w:r w:rsidRPr="009D4F46">
        <w:rPr>
          <w:rFonts w:ascii="Garamond" w:hAnsi="Garamond" w:cs="Times New Roman"/>
          <w:i/>
          <w:color w:val="000000" w:themeColor="text1"/>
          <w:sz w:val="24"/>
          <w:szCs w:val="24"/>
        </w:rPr>
        <w:t>public figure</w:t>
      </w:r>
      <w:r w:rsidRPr="009D4F46">
        <w:rPr>
          <w:rFonts w:ascii="Garamond" w:hAnsi="Garamond" w:cs="Times New Roman"/>
          <w:color w:val="000000" w:themeColor="text1"/>
          <w:sz w:val="24"/>
          <w:szCs w:val="24"/>
        </w:rPr>
        <w:t xml:space="preserve"> yang melakukan hijrah seperti Laudya Cyntia Bella, Kartika Putri, Arie Untung dan masih banyak lagi, hijrah kalangan artis disebabkan karena ingin kehidupan dunia yang dimilkinya bermanfaat dan bermakna dengan meningkatkan keimanan dan ketaqwaan sebagai bekal di akhirat nanti</w:t>
      </w:r>
      <w:r w:rsidR="00E75617" w:rsidRPr="009D4F46">
        <w:rPr>
          <w:rFonts w:ascii="Garamond" w:hAnsi="Garamond" w:cs="Times New Roman"/>
          <w:color w:val="000000" w:themeColor="text1"/>
          <w:sz w:val="24"/>
          <w:szCs w:val="24"/>
        </w:rPr>
        <w:t>.</w:t>
      </w:r>
      <w:r w:rsidRPr="009D4F46">
        <w:rPr>
          <w:rFonts w:ascii="Garamond" w:hAnsi="Garamond" w:cs="Times New Roman"/>
          <w:color w:val="000000" w:themeColor="text1"/>
          <w:sz w:val="24"/>
          <w:szCs w:val="24"/>
        </w:rPr>
        <w:t xml:space="preserve"> </w:t>
      </w:r>
      <w:r w:rsidR="00E75617" w:rsidRPr="009D4F46">
        <w:rPr>
          <w:rFonts w:ascii="Garamond" w:hAnsi="Garamond" w:cs="Times New Roman"/>
          <w:sz w:val="24"/>
          <w:szCs w:val="24"/>
        </w:rPr>
        <w:t xml:space="preserve">Hijrah melalui artis atau selebritis dapat disebut micro-celebrities karena mempunyai ciri-ciri muda, </w:t>
      </w:r>
      <w:proofErr w:type="gramStart"/>
      <w:r w:rsidR="00E75617" w:rsidRPr="009D4F46">
        <w:rPr>
          <w:rFonts w:ascii="Garamond" w:hAnsi="Garamond" w:cs="Times New Roman"/>
          <w:sz w:val="24"/>
          <w:szCs w:val="24"/>
        </w:rPr>
        <w:t>muslim</w:t>
      </w:r>
      <w:proofErr w:type="gramEnd"/>
      <w:r w:rsidR="00E75617" w:rsidRPr="009D4F46">
        <w:rPr>
          <w:rFonts w:ascii="Garamond" w:hAnsi="Garamond" w:cs="Times New Roman"/>
          <w:sz w:val="24"/>
          <w:szCs w:val="24"/>
        </w:rPr>
        <w:t>, berani berhijrah, dan populer. Para micro-celebrities yang memiliki kemampuan dan pengetahuan agama Islam, serta dukungan dari akun-akun media sosial yang mengatasnamakan hijrah</w:t>
      </w:r>
      <w:r w:rsidR="00E75617" w:rsidRPr="009D4F46">
        <w:rPr>
          <w:rFonts w:ascii="Garamond" w:hAnsi="Garamond" w:cs="Times New Roman"/>
          <w:color w:val="000000" w:themeColor="text1"/>
          <w:sz w:val="24"/>
          <w:szCs w:val="24"/>
        </w:rPr>
        <w:t xml:space="preserve"> </w:t>
      </w:r>
      <w:r w:rsidR="00E75617" w:rsidRPr="009D4F46">
        <w:rPr>
          <w:rFonts w:ascii="Garamond" w:hAnsi="Garamond" w:cs="Times New Roman"/>
          <w:color w:val="000000" w:themeColor="text1"/>
          <w:sz w:val="24"/>
          <w:szCs w:val="24"/>
        </w:rPr>
        <w:fldChar w:fldCharType="begin" w:fldLock="1"/>
      </w:r>
      <w:r w:rsidR="00E75617" w:rsidRPr="009D4F46">
        <w:rPr>
          <w:rFonts w:ascii="Garamond" w:hAnsi="Garamond" w:cs="Times New Roman"/>
          <w:color w:val="000000" w:themeColor="text1"/>
          <w:sz w:val="24"/>
          <w:szCs w:val="24"/>
        </w:rPr>
        <w:instrText>ADDIN CSL_CITATION { "citationItems" : [ { "id" : "ITEM-1", "itemData" : { "author" : [ { "dropping-particle" : "", "family" : "Annisa", "given" : "Firly", "non-dropping-particle" : "", "parse-names" : false, "suffix" : "" } ], "container-title" : "Maarif Institute", "id" : "ITEM-1", "issue" : "1", "issued" : { "date-parts" : [ [ "2018" ] ] }, "page" : "38-54", "title" : "Hijrah Milenial: Antara Kesalehan dan Populism", "type" : "article-journal", "volume" : "13" }, "uris" : [ "http://www.mendeley.com/documents/?uuid=9cafdc93-832f-43ce-b768-6db3253e330e" ] } ], "mendeley" : { "formattedCitation" : "(Annisa, 2018)", "plainTextFormattedCitation" : "(Annisa, 2018)", "previouslyFormattedCitation" : "(Annisa, 2018)" }, "properties" : {  }, "schema" : "https://github.com/citation-style-language/schema/raw/master/csl-citation.json" }</w:instrText>
      </w:r>
      <w:r w:rsidR="00E75617" w:rsidRPr="009D4F46">
        <w:rPr>
          <w:rFonts w:ascii="Garamond" w:hAnsi="Garamond" w:cs="Times New Roman"/>
          <w:color w:val="000000" w:themeColor="text1"/>
          <w:sz w:val="24"/>
          <w:szCs w:val="24"/>
        </w:rPr>
        <w:fldChar w:fldCharType="separate"/>
      </w:r>
      <w:r w:rsidR="00E75617" w:rsidRPr="009D4F46">
        <w:rPr>
          <w:rFonts w:ascii="Garamond" w:hAnsi="Garamond" w:cs="Times New Roman"/>
          <w:noProof/>
          <w:color w:val="000000" w:themeColor="text1"/>
          <w:sz w:val="24"/>
          <w:szCs w:val="24"/>
        </w:rPr>
        <w:t>(Annisa, 2018)</w:t>
      </w:r>
      <w:r w:rsidR="00E75617" w:rsidRPr="009D4F46">
        <w:rPr>
          <w:rFonts w:ascii="Garamond" w:hAnsi="Garamond" w:cs="Times New Roman"/>
          <w:color w:val="000000" w:themeColor="text1"/>
          <w:sz w:val="24"/>
          <w:szCs w:val="24"/>
        </w:rPr>
        <w:fldChar w:fldCharType="end"/>
      </w:r>
      <w:r w:rsidR="00E75617" w:rsidRPr="009D4F46">
        <w:rPr>
          <w:rFonts w:ascii="Garamond" w:hAnsi="Garamond" w:cs="Times New Roman"/>
          <w:color w:val="000000" w:themeColor="text1"/>
          <w:sz w:val="24"/>
          <w:szCs w:val="24"/>
        </w:rPr>
        <w:t xml:space="preserve">. </w:t>
      </w:r>
      <w:r w:rsidRPr="009D4F46">
        <w:rPr>
          <w:rFonts w:ascii="Garamond" w:hAnsi="Garamond" w:cs="Times New Roman"/>
          <w:color w:val="000000" w:themeColor="text1"/>
          <w:sz w:val="24"/>
          <w:szCs w:val="24"/>
        </w:rPr>
        <w:t>(2) Maraknya hijrah islami pada milenial memberikan peluang bagi para pelaku ekonomi dalam me</w:t>
      </w:r>
      <w:r w:rsidR="00E75617" w:rsidRPr="009D4F46">
        <w:rPr>
          <w:rFonts w:ascii="Garamond" w:hAnsi="Garamond" w:cs="Times New Roman"/>
          <w:color w:val="000000" w:themeColor="text1"/>
          <w:sz w:val="24"/>
          <w:szCs w:val="24"/>
        </w:rPr>
        <w:t xml:space="preserve">mproduksi pakaian-pakain </w:t>
      </w:r>
      <w:proofErr w:type="gramStart"/>
      <w:r w:rsidR="00E75617" w:rsidRPr="009D4F46">
        <w:rPr>
          <w:rFonts w:ascii="Garamond" w:hAnsi="Garamond" w:cs="Times New Roman"/>
          <w:color w:val="000000" w:themeColor="text1"/>
          <w:sz w:val="24"/>
          <w:szCs w:val="24"/>
        </w:rPr>
        <w:t>islam</w:t>
      </w:r>
      <w:proofErr w:type="gramEnd"/>
      <w:r w:rsidR="00E75617" w:rsidRPr="009D4F46">
        <w:rPr>
          <w:rFonts w:ascii="Garamond" w:hAnsi="Garamond" w:cs="Times New Roman"/>
          <w:color w:val="000000" w:themeColor="text1"/>
          <w:sz w:val="24"/>
          <w:szCs w:val="24"/>
        </w:rPr>
        <w:t xml:space="preserve">. </w:t>
      </w:r>
      <w:r w:rsidR="00E75617" w:rsidRPr="009D4F46">
        <w:rPr>
          <w:rFonts w:ascii="Garamond" w:hAnsi="Garamond" w:cs="Times New Roman"/>
          <w:sz w:val="24"/>
          <w:szCs w:val="24"/>
        </w:rPr>
        <w:t>Hijrah online melalui media sosial dengan memanfaatkan hubungan kuasa, pihak-pihak yang merealisasikan marketing branding, dengan cara memebrikan pesan komunikasi yang menarik dan efisien</w:t>
      </w:r>
      <w:r w:rsidR="00E75617" w:rsidRPr="009D4F46">
        <w:rPr>
          <w:rFonts w:ascii="Garamond" w:hAnsi="Garamond" w:cs="Times New Roman"/>
          <w:color w:val="000000" w:themeColor="text1"/>
          <w:sz w:val="24"/>
          <w:szCs w:val="24"/>
        </w:rPr>
        <w:t xml:space="preserve"> </w:t>
      </w:r>
      <w:r w:rsidR="00E75617" w:rsidRPr="009D4F46">
        <w:rPr>
          <w:rFonts w:ascii="Garamond" w:hAnsi="Garamond" w:cs="Times New Roman"/>
          <w:color w:val="000000" w:themeColor="text1"/>
          <w:sz w:val="24"/>
          <w:szCs w:val="24"/>
        </w:rPr>
        <w:fldChar w:fldCharType="begin" w:fldLock="1"/>
      </w:r>
      <w:r w:rsidR="00E75617" w:rsidRPr="009D4F46">
        <w:rPr>
          <w:rFonts w:ascii="Garamond" w:hAnsi="Garamond" w:cs="Times New Roman"/>
          <w:color w:val="000000" w:themeColor="text1"/>
          <w:sz w:val="24"/>
          <w:szCs w:val="24"/>
        </w:rPr>
        <w:instrText>ADDIN CSL_CITATION { "citationItems" : [ { "id" : "ITEM-1", "itemData" : { "author" : [ { "dropping-particle" : "", "family" : "Annisa", "given" : "Firly", "non-dropping-particle" : "", "parse-names" : false, "suffix" : "" } ], "container-title" : "Maarif Institute", "id" : "ITEM-1", "issue" : "1", "issued" : { "date-parts" : [ [ "2018" ] ] }, "page" : "38-54", "title" : "Hijrah Milenial: Antara Kesalehan dan Populism", "type" : "article-journal", "volume" : "13" }, "uris" : [ "http://www.mendeley.com/documents/?uuid=9cafdc93-832f-43ce-b768-6db3253e330e" ] } ], "mendeley" : { "formattedCitation" : "(Annisa, 2018)", "plainTextFormattedCitation" : "(Annisa, 2018)", "previouslyFormattedCitation" : "(Annisa, 2018)" }, "properties" : {  }, "schema" : "https://github.com/citation-style-language/schema/raw/master/csl-citation.json" }</w:instrText>
      </w:r>
      <w:r w:rsidR="00E75617" w:rsidRPr="009D4F46">
        <w:rPr>
          <w:rFonts w:ascii="Garamond" w:hAnsi="Garamond" w:cs="Times New Roman"/>
          <w:color w:val="000000" w:themeColor="text1"/>
          <w:sz w:val="24"/>
          <w:szCs w:val="24"/>
        </w:rPr>
        <w:fldChar w:fldCharType="separate"/>
      </w:r>
      <w:r w:rsidR="00E75617" w:rsidRPr="009D4F46">
        <w:rPr>
          <w:rFonts w:ascii="Garamond" w:hAnsi="Garamond" w:cs="Times New Roman"/>
          <w:noProof/>
          <w:color w:val="000000" w:themeColor="text1"/>
          <w:sz w:val="24"/>
          <w:szCs w:val="24"/>
        </w:rPr>
        <w:t>(Annisa, 2018)</w:t>
      </w:r>
      <w:r w:rsidR="00E75617" w:rsidRPr="009D4F46">
        <w:rPr>
          <w:rFonts w:ascii="Garamond" w:hAnsi="Garamond" w:cs="Times New Roman"/>
          <w:color w:val="000000" w:themeColor="text1"/>
          <w:sz w:val="24"/>
          <w:szCs w:val="24"/>
        </w:rPr>
        <w:fldChar w:fldCharType="end"/>
      </w:r>
      <w:r w:rsidR="00E75617" w:rsidRPr="009D4F46">
        <w:rPr>
          <w:rFonts w:ascii="Garamond" w:hAnsi="Garamond" w:cs="Times New Roman"/>
          <w:color w:val="000000" w:themeColor="text1"/>
          <w:sz w:val="24"/>
          <w:szCs w:val="24"/>
        </w:rPr>
        <w:t xml:space="preserve">. </w:t>
      </w:r>
      <w:r w:rsidR="003318CF" w:rsidRPr="009D4F46">
        <w:rPr>
          <w:rFonts w:ascii="Garamond" w:hAnsi="Garamond" w:cs="Times New Roman"/>
          <w:color w:val="000000" w:themeColor="text1"/>
          <w:sz w:val="24"/>
          <w:szCs w:val="24"/>
        </w:rPr>
        <w:t>(3) E</w:t>
      </w:r>
      <w:r w:rsidRPr="009D4F46">
        <w:rPr>
          <w:rFonts w:ascii="Garamond" w:hAnsi="Garamond" w:cs="Times New Roman"/>
          <w:color w:val="000000" w:themeColor="text1"/>
          <w:sz w:val="24"/>
          <w:szCs w:val="24"/>
        </w:rPr>
        <w:t>kspresi juga terlihat pada perkembangan teknologi informasi, mudahnya akses internet</w:t>
      </w:r>
      <w:r w:rsidRPr="009D4F46">
        <w:rPr>
          <w:rFonts w:ascii="Garamond" w:hAnsi="Garamond"/>
          <w:color w:val="000000" w:themeColor="text1"/>
          <w:sz w:val="24"/>
          <w:szCs w:val="24"/>
        </w:rPr>
        <w:t xml:space="preserve"> pada berbagai kalangan masyarakat, hijrah semakin mudah dengan terbentuknya akun-akun sosial media yang menjelaskan tentang islam dari berbagai hal sehingga milenial yang senang dengan sosial media akan lebih tertarik dalam melakukan perubahan diri melalui konten islami yang dibaca oleh dirinya sendiri dan merenungkan nilai-nilai agama islam dengan baik, dengan dukungan motivasi yang kuat, namun yang menjadi kekhawatiran adalah perlunya penyaringan informasi pada berita palsu atau </w:t>
      </w:r>
      <w:r w:rsidRPr="009D4F46">
        <w:rPr>
          <w:rFonts w:ascii="Garamond" w:hAnsi="Garamond"/>
          <w:i/>
          <w:color w:val="000000" w:themeColor="text1"/>
          <w:sz w:val="24"/>
          <w:szCs w:val="24"/>
        </w:rPr>
        <w:t xml:space="preserve">hoax </w:t>
      </w:r>
      <w:r w:rsidRPr="009D4F46">
        <w:rPr>
          <w:rFonts w:ascii="Garamond" w:hAnsi="Garamond"/>
          <w:color w:val="000000" w:themeColor="text1"/>
          <w:sz w:val="24"/>
          <w:szCs w:val="24"/>
        </w:rPr>
        <w:t>apalagi yang berkaitan dengan agama, sehingga milenial perlu cerdas dalam menangkap informasi.</w:t>
      </w:r>
    </w:p>
    <w:p w:rsidR="00C84C89" w:rsidRPr="009D4F46" w:rsidRDefault="00C84C89" w:rsidP="00C84C89">
      <w:pPr>
        <w:pStyle w:val="ListParagraph"/>
        <w:numPr>
          <w:ilvl w:val="0"/>
          <w:numId w:val="12"/>
        </w:numPr>
        <w:spacing w:after="0" w:line="360" w:lineRule="auto"/>
        <w:jc w:val="both"/>
        <w:rPr>
          <w:rFonts w:ascii="Garamond" w:hAnsi="Garamond"/>
          <w:sz w:val="24"/>
          <w:szCs w:val="24"/>
        </w:rPr>
      </w:pPr>
      <w:r w:rsidRPr="009D4F46">
        <w:rPr>
          <w:rFonts w:ascii="Garamond" w:eastAsia="Times New Roman" w:hAnsi="Garamond"/>
          <w:sz w:val="24"/>
          <w:szCs w:val="24"/>
        </w:rPr>
        <w:t>Ekspresi tatanan gerakan sosial baru melalui pandangan kelas dan mengurangi batasan kondisi material</w:t>
      </w:r>
    </w:p>
    <w:p w:rsidR="00880625" w:rsidRPr="009D4F46" w:rsidRDefault="00880625" w:rsidP="003F14DF">
      <w:pPr>
        <w:spacing w:after="0" w:line="360" w:lineRule="auto"/>
        <w:ind w:left="360" w:firstLine="720"/>
        <w:jc w:val="both"/>
        <w:rPr>
          <w:rFonts w:ascii="Garamond" w:hAnsi="Garamond"/>
          <w:color w:val="000000" w:themeColor="text1"/>
          <w:sz w:val="24"/>
          <w:szCs w:val="24"/>
        </w:rPr>
      </w:pPr>
      <w:r w:rsidRPr="009D4F46">
        <w:rPr>
          <w:rFonts w:ascii="Garamond" w:hAnsi="Garamond"/>
          <w:color w:val="000000" w:themeColor="text1"/>
          <w:sz w:val="24"/>
          <w:szCs w:val="24"/>
        </w:rPr>
        <w:t xml:space="preserve">Ekspresi </w:t>
      </w:r>
      <w:r w:rsidRPr="009D4F46">
        <w:rPr>
          <w:rFonts w:ascii="Garamond" w:hAnsi="Garamond" w:cs="Times New Roman"/>
          <w:color w:val="000000" w:themeColor="text1"/>
          <w:sz w:val="24"/>
          <w:szCs w:val="24"/>
        </w:rPr>
        <w:t xml:space="preserve">milineal dalam hijrah islami, terlihat pada gagasan yang maju dari para milenial yang memiliki pola pikir lebih kritis dan terbuka dalam memahami, melaksanakan, mengikuti segala perintah dalam ajaran agama </w:t>
      </w:r>
      <w:proofErr w:type="gramStart"/>
      <w:r w:rsidRPr="009D4F46">
        <w:rPr>
          <w:rFonts w:ascii="Garamond" w:hAnsi="Garamond" w:cs="Times New Roman"/>
          <w:color w:val="000000" w:themeColor="text1"/>
          <w:sz w:val="24"/>
          <w:szCs w:val="24"/>
        </w:rPr>
        <w:t>islam</w:t>
      </w:r>
      <w:proofErr w:type="gramEnd"/>
      <w:r w:rsidRPr="009D4F46">
        <w:rPr>
          <w:rFonts w:ascii="Garamond" w:hAnsi="Garamond" w:cs="Times New Roman"/>
          <w:color w:val="000000" w:themeColor="text1"/>
          <w:sz w:val="24"/>
          <w:szCs w:val="24"/>
        </w:rPr>
        <w:t xml:space="preserve">. </w:t>
      </w:r>
      <w:r w:rsidR="009C04D2" w:rsidRPr="009D4F46">
        <w:rPr>
          <w:rFonts w:ascii="Garamond" w:hAnsi="Garamond" w:cs="Times New Roman"/>
          <w:sz w:val="24"/>
          <w:szCs w:val="24"/>
        </w:rPr>
        <w:t xml:space="preserve">Menurut Hasanudiin Ali dan Lilik Purwandi (2017), salah satu kelas menengah masyarakat milenial adalah yang biasa berpikir out of the box, banyak ide dan gagasan serta dengan mudah berkomunikasi yang disebabkan oleh tumbuhya industri oleh kaum muda </w:t>
      </w:r>
      <w:r w:rsidR="009C04D2" w:rsidRPr="009D4F46">
        <w:rPr>
          <w:rFonts w:ascii="Garamond" w:hAnsi="Garamond" w:cs="Times New Roman"/>
          <w:sz w:val="24"/>
          <w:szCs w:val="24"/>
        </w:rPr>
        <w:fldChar w:fldCharType="begin" w:fldLock="1"/>
      </w:r>
      <w:r w:rsidR="009C04D2" w:rsidRPr="009D4F46">
        <w:rPr>
          <w:rFonts w:ascii="Garamond" w:hAnsi="Garamond" w:cs="Times New Roman"/>
          <w:sz w:val="24"/>
          <w:szCs w:val="24"/>
        </w:rPr>
        <w:instrText>ADDIN CSL_CITATION { "citationItems" : [ { "id" : "ITEM-1", "itemData" : { "ISSN" : "2548-4761", "author" : [ { "dropping-particle" : "", "family" : "Walidah", "given" : "I. A", "non-dropping-particle" : "", "parse-names" : false, "suffix" : "" } ], "container-title" : "Living Hadis", "id" : "ITEM-1", "issue" : "1", "issued" : { "date-parts" : [ [ "2017" ] ] }, "page" : "317-344", "title" : "Tabayyun di era generasi millennial", "type" : "article-journal", "volume" : "2" }, "uris" : [ "http://www.mendeley.com/documents/?uuid=b149174b-b459-4dab-a71f-3a8449671b97" ] } ], "mendeley" : { "formattedCitation" : "(Walidah, 2017)", "plainTextFormattedCitation" : "(Walidah, 2017)", "previouslyFormattedCitation" : "(Walidah, 2017)" }, "properties" : {  }, "schema" : "https://github.com/citation-style-language/schema/raw/master/csl-citation.json" }</w:instrText>
      </w:r>
      <w:r w:rsidR="009C04D2" w:rsidRPr="009D4F46">
        <w:rPr>
          <w:rFonts w:ascii="Garamond" w:hAnsi="Garamond" w:cs="Times New Roman"/>
          <w:sz w:val="24"/>
          <w:szCs w:val="24"/>
        </w:rPr>
        <w:fldChar w:fldCharType="separate"/>
      </w:r>
      <w:r w:rsidR="009C04D2" w:rsidRPr="009D4F46">
        <w:rPr>
          <w:rFonts w:ascii="Garamond" w:hAnsi="Garamond" w:cs="Times New Roman"/>
          <w:noProof/>
          <w:sz w:val="24"/>
          <w:szCs w:val="24"/>
        </w:rPr>
        <w:t>(Walidah, 2017)</w:t>
      </w:r>
      <w:r w:rsidR="009C04D2" w:rsidRPr="009D4F46">
        <w:rPr>
          <w:rFonts w:ascii="Garamond" w:hAnsi="Garamond" w:cs="Times New Roman"/>
          <w:sz w:val="24"/>
          <w:szCs w:val="24"/>
        </w:rPr>
        <w:fldChar w:fldCharType="end"/>
      </w:r>
      <w:r w:rsidR="009C04D2" w:rsidRPr="009D4F46">
        <w:rPr>
          <w:rFonts w:ascii="Garamond" w:hAnsi="Garamond" w:cs="Times New Roman"/>
          <w:sz w:val="24"/>
          <w:szCs w:val="24"/>
        </w:rPr>
        <w:t xml:space="preserve">. </w:t>
      </w:r>
      <w:r w:rsidRPr="009D4F46">
        <w:rPr>
          <w:rFonts w:ascii="Garamond" w:hAnsi="Garamond" w:cs="Times New Roman"/>
          <w:color w:val="000000" w:themeColor="text1"/>
          <w:sz w:val="24"/>
          <w:szCs w:val="24"/>
        </w:rPr>
        <w:t xml:space="preserve">Pola pikir berlandaskan agama </w:t>
      </w:r>
      <w:r w:rsidRPr="009D4F46">
        <w:rPr>
          <w:rFonts w:ascii="Garamond" w:hAnsi="Garamond" w:cs="Times New Roman"/>
          <w:color w:val="000000" w:themeColor="text1"/>
          <w:sz w:val="24"/>
          <w:szCs w:val="24"/>
        </w:rPr>
        <w:lastRenderedPageBreak/>
        <w:t>islam akan membuat milenial lebih paham ajaran agama yang mengacu pada kandungan ayat Al-Qur’an, Hadist, kisah-kisah Nabi, dengan direaliisasikan pada bentuk perilaku serta lahiriah dan batiniah dalam kehidupan sehari-hari.</w:t>
      </w:r>
    </w:p>
    <w:p w:rsidR="00C84C89" w:rsidRPr="009D4F46" w:rsidRDefault="00C84C89" w:rsidP="00C84C89">
      <w:pPr>
        <w:pStyle w:val="ListParagraph"/>
        <w:numPr>
          <w:ilvl w:val="0"/>
          <w:numId w:val="12"/>
        </w:numPr>
        <w:spacing w:after="0" w:line="360" w:lineRule="auto"/>
        <w:jc w:val="both"/>
        <w:rPr>
          <w:rFonts w:ascii="Garamond" w:hAnsi="Garamond"/>
          <w:sz w:val="24"/>
          <w:szCs w:val="24"/>
        </w:rPr>
      </w:pPr>
      <w:r w:rsidRPr="009D4F46">
        <w:rPr>
          <w:rFonts w:ascii="Garamond" w:eastAsia="Times New Roman" w:hAnsi="Garamond"/>
          <w:sz w:val="24"/>
          <w:szCs w:val="24"/>
        </w:rPr>
        <w:t>Perilaku ekspresif menjadi fokus perhatian</w:t>
      </w:r>
    </w:p>
    <w:p w:rsidR="00880625" w:rsidRPr="009D4F46" w:rsidRDefault="00880625" w:rsidP="003F14DF">
      <w:pPr>
        <w:spacing w:after="0" w:line="360" w:lineRule="auto"/>
        <w:ind w:left="360" w:firstLine="720"/>
        <w:jc w:val="both"/>
        <w:rPr>
          <w:rFonts w:ascii="Garamond" w:hAnsi="Garamond"/>
          <w:color w:val="000000" w:themeColor="text1"/>
          <w:sz w:val="24"/>
          <w:szCs w:val="24"/>
        </w:rPr>
      </w:pPr>
      <w:r w:rsidRPr="009D4F46">
        <w:rPr>
          <w:rFonts w:ascii="Garamond" w:hAnsi="Garamond"/>
          <w:color w:val="000000" w:themeColor="text1"/>
          <w:sz w:val="24"/>
          <w:szCs w:val="24"/>
        </w:rPr>
        <w:t xml:space="preserve">Perilaku ekspresif dari hijrah islami milenial diterapkan dengan </w:t>
      </w:r>
      <w:proofErr w:type="gramStart"/>
      <w:r w:rsidRPr="009D4F46">
        <w:rPr>
          <w:rFonts w:ascii="Garamond" w:hAnsi="Garamond"/>
          <w:color w:val="000000" w:themeColor="text1"/>
          <w:sz w:val="24"/>
          <w:szCs w:val="24"/>
        </w:rPr>
        <w:t>cara</w:t>
      </w:r>
      <w:proofErr w:type="gramEnd"/>
      <w:r w:rsidRPr="009D4F46">
        <w:rPr>
          <w:rFonts w:ascii="Garamond" w:hAnsi="Garamond"/>
          <w:color w:val="000000" w:themeColor="text1"/>
          <w:sz w:val="24"/>
          <w:szCs w:val="24"/>
        </w:rPr>
        <w:t xml:space="preserve"> mengikuti berbagai kajian-kajian islam yang sekarang menyebar diberbagai daerah seperti salah satunya </w:t>
      </w:r>
      <w:r w:rsidRPr="009D4F46">
        <w:rPr>
          <w:rFonts w:ascii="Garamond" w:hAnsi="Garamond" w:cs="Times New Roman"/>
          <w:color w:val="000000" w:themeColor="text1"/>
          <w:sz w:val="24"/>
          <w:szCs w:val="24"/>
        </w:rPr>
        <w:t xml:space="preserve">Kota Bandung. Kota Bandung memiliki kajian islami di berbagai masjid diantaranya masjid Agung di Alun-alun, masjid Agung Trans Studio, masjid Telkom di Gerlong, Masjid Salman ITB, masjid Daarut Tauhid dan masih banyak masjid lainnya. Kajian-kajiaan islami akan disampaikan oleh para tokoh agama seperti ustadz Aam Amiruddin, ustadz Abdul Somad, ustadz Adi Hidayat, ustadz Hanan Attaki, ustadz AA Gym dan tokoh agama lainnya. </w:t>
      </w:r>
      <w:r w:rsidR="00FF28F5" w:rsidRPr="009D4F46">
        <w:rPr>
          <w:rFonts w:ascii="Garamond" w:hAnsi="Garamond" w:cs="Times New Roman"/>
          <w:sz w:val="24"/>
          <w:szCs w:val="24"/>
        </w:rPr>
        <w:t xml:space="preserve">Ustadz Hanan Attaki merupakan penggagas dari komunitas Pemuda Hijrah yang diisi oleh para pemuda yang ingin hijrah, awal kajian dilaksanaka di Masjid Al-Lathif kota Bandung Jawa barat, tujuannya mengajak para pemuda untuk berubah ke arah yang lebih baik dan kajian berisi hal-hal di kehidupan sehari-hari yang menjadi masalah para pemuda </w:t>
      </w:r>
      <w:r w:rsidR="00FF28F5" w:rsidRPr="009D4F46">
        <w:rPr>
          <w:rFonts w:ascii="Garamond" w:hAnsi="Garamond" w:cs="Times New Roman"/>
          <w:sz w:val="24"/>
          <w:szCs w:val="24"/>
        </w:rPr>
        <w:fldChar w:fldCharType="begin" w:fldLock="1"/>
      </w:r>
      <w:r w:rsidR="00FF28F5" w:rsidRPr="009D4F46">
        <w:rPr>
          <w:rFonts w:ascii="Garamond" w:hAnsi="Garamond" w:cs="Times New Roman"/>
          <w:sz w:val="24"/>
          <w:szCs w:val="24"/>
        </w:rPr>
        <w:instrText>ADDIN CSL_CITATION { "citationItems" : [ { "id" : "ITEM-1", "itemData" : { "author" : [ { "dropping-particle" : "", "family" : "Fatoni, U. &amp; Rais", "given" : "A. N.", "non-dropping-particle" : "", "parse-names" : false, "suffix" : "" } ], "container-title" : "Dakwah dan Komunikasi", "id" : "ITEM-1", "issue" : "2", "issued" : { "date-parts" : [ [ "2018" ] ] }, "page" : "211-222", "title" : "Pengelolaan Kesan Da \u2019 i dalam Kegiatan Dakwah Pemuda Hijrah", "type" : "article-journal", "volume" : "12" }, "uris" : [ "http://www.mendeley.com/documents/?uuid=32ad6f16-df53-4847-834f-8d35cc422fe0" ] } ], "mendeley" : { "formattedCitation" : "(Fatoni, U. &amp; Rais, 2018)", "plainTextFormattedCitation" : "(Fatoni, U. &amp; Rais, 2018)", "previouslyFormattedCitation" : "(Fatoni, U. &amp; Rais, 2018)" }, "properties" : {  }, "schema" : "https://github.com/citation-style-language/schema/raw/master/csl-citation.json" }</w:instrText>
      </w:r>
      <w:r w:rsidR="00FF28F5" w:rsidRPr="009D4F46">
        <w:rPr>
          <w:rFonts w:ascii="Garamond" w:hAnsi="Garamond" w:cs="Times New Roman"/>
          <w:sz w:val="24"/>
          <w:szCs w:val="24"/>
        </w:rPr>
        <w:fldChar w:fldCharType="separate"/>
      </w:r>
      <w:r w:rsidR="00FF28F5" w:rsidRPr="009D4F46">
        <w:rPr>
          <w:rFonts w:ascii="Garamond" w:hAnsi="Garamond" w:cs="Times New Roman"/>
          <w:noProof/>
          <w:sz w:val="24"/>
          <w:szCs w:val="24"/>
        </w:rPr>
        <w:t>(Fatoni, U. &amp; Rais, 2018)</w:t>
      </w:r>
      <w:r w:rsidR="00FF28F5" w:rsidRPr="009D4F46">
        <w:rPr>
          <w:rFonts w:ascii="Garamond" w:hAnsi="Garamond" w:cs="Times New Roman"/>
          <w:sz w:val="24"/>
          <w:szCs w:val="24"/>
        </w:rPr>
        <w:fldChar w:fldCharType="end"/>
      </w:r>
      <w:r w:rsidR="00FF28F5" w:rsidRPr="009D4F46">
        <w:rPr>
          <w:rFonts w:ascii="Garamond" w:hAnsi="Garamond" w:cs="Times New Roman"/>
          <w:sz w:val="24"/>
          <w:szCs w:val="24"/>
        </w:rPr>
        <w:t xml:space="preserve">. </w:t>
      </w:r>
      <w:r w:rsidRPr="009D4F46">
        <w:rPr>
          <w:rFonts w:ascii="Garamond" w:hAnsi="Garamond" w:cs="Times New Roman"/>
          <w:color w:val="000000" w:themeColor="text1"/>
          <w:sz w:val="24"/>
          <w:szCs w:val="24"/>
        </w:rPr>
        <w:t>Selain itu, perilaku ekspresif lainnya adalah di media sosial, para milenial yang islami memberikan konten</w:t>
      </w:r>
      <w:r w:rsidRPr="009D4F46">
        <w:rPr>
          <w:rFonts w:ascii="Garamond" w:hAnsi="Garamond"/>
          <w:color w:val="000000" w:themeColor="text1"/>
          <w:sz w:val="24"/>
          <w:szCs w:val="24"/>
        </w:rPr>
        <w:t>-konten islami pada jejaring sosial media yang mereka miliki agar dapat memotivasi diri sendiri maupun orang lain untuk berhijrah, dan juga terlihat dari perubahan pakaian-pakaian yang menjadi islam, khusunya pada perempuan yang terlihat berpakain sesuai dengan syariat islam atau setidaknya menutup aurat, mengubah tampilan berpakain memang tidak mudah maka perlu motivasi yang kuat dalam diri individu yang menyiratkan bahwa dengan pakaian yang baik akan merubah perilakunya menjadi lebih baik dengan proses-proses yang dijalani.</w:t>
      </w:r>
    </w:p>
    <w:p w:rsidR="00C84C89" w:rsidRPr="009D4F46" w:rsidRDefault="00C84C89" w:rsidP="00C84C89">
      <w:pPr>
        <w:pStyle w:val="ListParagraph"/>
        <w:numPr>
          <w:ilvl w:val="0"/>
          <w:numId w:val="12"/>
        </w:numPr>
        <w:spacing w:after="0" w:line="360" w:lineRule="auto"/>
        <w:jc w:val="both"/>
        <w:rPr>
          <w:rFonts w:ascii="Garamond" w:hAnsi="Garamond"/>
          <w:sz w:val="24"/>
          <w:szCs w:val="24"/>
        </w:rPr>
      </w:pPr>
      <w:r w:rsidRPr="009D4F46">
        <w:rPr>
          <w:rFonts w:ascii="Garamond" w:eastAsia="Times New Roman" w:hAnsi="Garamond"/>
          <w:sz w:val="24"/>
          <w:szCs w:val="24"/>
        </w:rPr>
        <w:t>Secara substantif, peran dan posisi aktor-aktor modern bersama-sama berjuang dengan sadar dalam memerangi kekuasaan sosial dalam menciptakan identitas baru dan ruang demokratis aksi sosial yang lebih bebas</w:t>
      </w:r>
    </w:p>
    <w:p w:rsidR="00880625" w:rsidRPr="009D4F46" w:rsidRDefault="00880625" w:rsidP="003F14DF">
      <w:pPr>
        <w:spacing w:after="0" w:line="360" w:lineRule="auto"/>
        <w:ind w:left="360" w:firstLine="720"/>
        <w:jc w:val="both"/>
        <w:rPr>
          <w:rFonts w:ascii="Garamond" w:hAnsi="Garamond"/>
          <w:color w:val="000000" w:themeColor="text1"/>
          <w:sz w:val="24"/>
          <w:szCs w:val="24"/>
        </w:rPr>
      </w:pPr>
      <w:r w:rsidRPr="009D4F46">
        <w:rPr>
          <w:rFonts w:ascii="Garamond" w:hAnsi="Garamond"/>
          <w:color w:val="000000" w:themeColor="text1"/>
          <w:sz w:val="24"/>
          <w:szCs w:val="24"/>
        </w:rPr>
        <w:t xml:space="preserve">Peran dan posisi aktor milenial dalam melaksanakan hijrah tidak mudah, peran yang dapat ditunjukkan oleh milenial adalah mereka berperan sebagai </w:t>
      </w:r>
      <w:proofErr w:type="gramStart"/>
      <w:r w:rsidRPr="009D4F46">
        <w:rPr>
          <w:rFonts w:ascii="Garamond" w:hAnsi="Garamond"/>
          <w:color w:val="000000" w:themeColor="text1"/>
          <w:sz w:val="24"/>
          <w:szCs w:val="24"/>
        </w:rPr>
        <w:t>muslim</w:t>
      </w:r>
      <w:proofErr w:type="gramEnd"/>
      <w:r w:rsidRPr="009D4F46">
        <w:rPr>
          <w:rFonts w:ascii="Garamond" w:hAnsi="Garamond"/>
          <w:color w:val="000000" w:themeColor="text1"/>
          <w:sz w:val="24"/>
          <w:szCs w:val="24"/>
        </w:rPr>
        <w:t xml:space="preserve"> dan muslimah yang sesuai dengan ajaran agama islam seperti dalam kehidupan sehari-hari melaksanakan shalat, sedekah, mengaji, membantu orang lain dan ajaran islam lainnya, sehingga peran tersebut dapat menjadi identitas milenial sebagai masyarakat yang taat dengan agama islam. Selain itu, posisi yang dimiliki milenial </w:t>
      </w:r>
      <w:proofErr w:type="gramStart"/>
      <w:r w:rsidRPr="009D4F46">
        <w:rPr>
          <w:rFonts w:ascii="Garamond" w:hAnsi="Garamond"/>
          <w:color w:val="000000" w:themeColor="text1"/>
          <w:sz w:val="24"/>
          <w:szCs w:val="24"/>
        </w:rPr>
        <w:t>islam</w:t>
      </w:r>
      <w:proofErr w:type="gramEnd"/>
      <w:r w:rsidRPr="009D4F46">
        <w:rPr>
          <w:rFonts w:ascii="Garamond" w:hAnsi="Garamond"/>
          <w:color w:val="000000" w:themeColor="text1"/>
          <w:sz w:val="24"/>
          <w:szCs w:val="24"/>
        </w:rPr>
        <w:t xml:space="preserve"> adalah dengan menempatkan dirinya sebagai makhluk yang beragama islam dan taat aturan agama islam. Aksi yang dapat dilakukan oleh milenial muslim seperti mengikuti kajian-kajian islam, membantu sesama dan yang berbeda agama sehingga </w:t>
      </w:r>
      <w:r w:rsidRPr="009D4F46">
        <w:rPr>
          <w:rFonts w:ascii="Garamond" w:hAnsi="Garamond"/>
          <w:color w:val="000000" w:themeColor="text1"/>
          <w:sz w:val="24"/>
          <w:szCs w:val="24"/>
        </w:rPr>
        <w:lastRenderedPageBreak/>
        <w:t xml:space="preserve">terbentuk toleransi, menampilkan pameran-pameran buku islam, dakwah melalui sosial media, aksi yang kurang lebih </w:t>
      </w:r>
      <w:r w:rsidRPr="009D4F46">
        <w:rPr>
          <w:rFonts w:ascii="Garamond" w:hAnsi="Garamond" w:cs="Times New Roman"/>
          <w:color w:val="000000" w:themeColor="text1"/>
          <w:sz w:val="24"/>
          <w:szCs w:val="24"/>
        </w:rPr>
        <w:t>selama 2 tahun ini berjalan yaitu aksi 212, dan aksi-aksi lainnya yang mencirikan sebagai hijrah islami kaum milenial.</w:t>
      </w:r>
      <w:r w:rsidR="00D16FB2" w:rsidRPr="009D4F46">
        <w:rPr>
          <w:rFonts w:ascii="Garamond" w:hAnsi="Garamond" w:cs="Times New Roman"/>
          <w:color w:val="000000" w:themeColor="text1"/>
          <w:sz w:val="24"/>
          <w:szCs w:val="24"/>
        </w:rPr>
        <w:t xml:space="preserve"> </w:t>
      </w:r>
      <w:r w:rsidR="00D16FB2" w:rsidRPr="009D4F46">
        <w:rPr>
          <w:rFonts w:ascii="Garamond" w:hAnsi="Garamond" w:cs="Times New Roman"/>
          <w:sz w:val="24"/>
          <w:szCs w:val="24"/>
        </w:rPr>
        <w:t xml:space="preserve">Menurut Rahmat Aziz (2012) kepribadian ulul albab perlu memiliki empat ciri yaitu: (1) Kedalaman spiritual merupakan manusia dapat memiliki arti dan perilaku semangat beragama; (2) Keagungan akhlak adalah beriperilaku sesuai ajaran islam; (3) Keluasan ilmu yaitu kemampuan dalam menyelesaikan masalah pada bidang keahliannya; (4) Kematangan profesional yaitu mampu bekerja dan berperilaku profesianal pada ilmunya dalam menyelesaikan masalah </w:t>
      </w:r>
      <w:r w:rsidR="00D16FB2" w:rsidRPr="009D4F46">
        <w:rPr>
          <w:rFonts w:ascii="Garamond" w:hAnsi="Garamond" w:cs="Times New Roman"/>
          <w:sz w:val="24"/>
          <w:szCs w:val="24"/>
        </w:rPr>
        <w:fldChar w:fldCharType="begin" w:fldLock="1"/>
      </w:r>
      <w:r w:rsidR="00D16FB2" w:rsidRPr="009D4F46">
        <w:rPr>
          <w:rFonts w:ascii="Garamond" w:hAnsi="Garamond" w:cs="Times New Roman"/>
          <w:sz w:val="24"/>
          <w:szCs w:val="24"/>
        </w:rPr>
        <w:instrText>ADDIN CSL_CITATION { "citationItems" : [ { "id" : "ITEM-1", "itemData" : { "ISSN" : "2085-2975", "author" : [ { "dropping-particle" : "", "family" : "Munir", "given" : "M.", "non-dropping-particle" : "", "parse-names" : false, "suffix" : "" } ], "container-title" : "Ta'limuna", "id" : "ITEM-1", "issue" : "1", "issued" : { "date-parts" : [ [ "2018" ] ] }, "title" : "Membingkai Kepribadian Ulul Albab Generasi Muda", "type" : "article-journal", "volume" : "7" }, "uris" : [ "http://www.mendeley.com/documents/?uuid=577ab99a-62b5-49e3-aa7d-3d525c0991a9" ] } ], "mendeley" : { "formattedCitation" : "(Munir, 2018)", "plainTextFormattedCitation" : "(Munir, 2018)", "previouslyFormattedCitation" : "(Munir, 2018)" }, "properties" : {  }, "schema" : "https://github.com/citation-style-language/schema/raw/master/csl-citation.json" }</w:instrText>
      </w:r>
      <w:r w:rsidR="00D16FB2" w:rsidRPr="009D4F46">
        <w:rPr>
          <w:rFonts w:ascii="Garamond" w:hAnsi="Garamond" w:cs="Times New Roman"/>
          <w:sz w:val="24"/>
          <w:szCs w:val="24"/>
        </w:rPr>
        <w:fldChar w:fldCharType="separate"/>
      </w:r>
      <w:r w:rsidR="00D16FB2" w:rsidRPr="009D4F46">
        <w:rPr>
          <w:rFonts w:ascii="Garamond" w:hAnsi="Garamond" w:cs="Times New Roman"/>
          <w:noProof/>
          <w:sz w:val="24"/>
          <w:szCs w:val="24"/>
        </w:rPr>
        <w:t>(Munir, 2018)</w:t>
      </w:r>
      <w:r w:rsidR="00D16FB2" w:rsidRPr="009D4F46">
        <w:rPr>
          <w:rFonts w:ascii="Garamond" w:hAnsi="Garamond" w:cs="Times New Roman"/>
          <w:sz w:val="24"/>
          <w:szCs w:val="24"/>
        </w:rPr>
        <w:fldChar w:fldCharType="end"/>
      </w:r>
      <w:r w:rsidR="00D16FB2" w:rsidRPr="009D4F46">
        <w:rPr>
          <w:rFonts w:ascii="Garamond" w:hAnsi="Garamond" w:cs="Times New Roman"/>
          <w:sz w:val="24"/>
          <w:szCs w:val="24"/>
        </w:rPr>
        <w:t>.</w:t>
      </w:r>
    </w:p>
    <w:p w:rsidR="00C84C89" w:rsidRPr="009D4F46" w:rsidRDefault="00C84C89" w:rsidP="00C84C89">
      <w:pPr>
        <w:pStyle w:val="ListParagraph"/>
        <w:numPr>
          <w:ilvl w:val="0"/>
          <w:numId w:val="12"/>
        </w:numPr>
        <w:spacing w:after="0" w:line="360" w:lineRule="auto"/>
        <w:jc w:val="both"/>
        <w:rPr>
          <w:rFonts w:ascii="Garamond" w:hAnsi="Garamond"/>
          <w:sz w:val="24"/>
          <w:szCs w:val="24"/>
        </w:rPr>
      </w:pPr>
      <w:r w:rsidRPr="009D4F46">
        <w:rPr>
          <w:rFonts w:ascii="Garamond" w:eastAsia="Times New Roman" w:hAnsi="Garamond"/>
          <w:sz w:val="24"/>
          <w:szCs w:val="24"/>
        </w:rPr>
        <w:t>Secara khusus, gerakan sosial baru meletakkan posisi pribadi sebagai kebersamaan yang bebas, manusia bebas dalam mengubah identitas dan mencari makna baru bagi identitasnya</w:t>
      </w:r>
    </w:p>
    <w:p w:rsidR="00880625" w:rsidRPr="009D4F46" w:rsidRDefault="00880625" w:rsidP="003F14DF">
      <w:pPr>
        <w:spacing w:line="360" w:lineRule="auto"/>
        <w:ind w:left="360" w:firstLine="720"/>
        <w:jc w:val="both"/>
        <w:rPr>
          <w:rFonts w:ascii="Garamond" w:hAnsi="Garamond" w:cs="Times New Roman"/>
          <w:color w:val="000000" w:themeColor="text1"/>
          <w:sz w:val="24"/>
          <w:szCs w:val="24"/>
        </w:rPr>
      </w:pPr>
      <w:proofErr w:type="gramStart"/>
      <w:r w:rsidRPr="009D4F46">
        <w:rPr>
          <w:rFonts w:ascii="Garamond" w:hAnsi="Garamond"/>
          <w:color w:val="000000" w:themeColor="text1"/>
          <w:sz w:val="24"/>
          <w:szCs w:val="24"/>
        </w:rPr>
        <w:t>Hijrah islami para milenial adalah menempatkan individu-individu yang hijrah islami ke arah tujuan hidup yang lebih baik dan terarah.</w:t>
      </w:r>
      <w:proofErr w:type="gramEnd"/>
      <w:r w:rsidRPr="009D4F46">
        <w:rPr>
          <w:rFonts w:ascii="Garamond" w:hAnsi="Garamond"/>
          <w:color w:val="000000" w:themeColor="text1"/>
          <w:sz w:val="24"/>
          <w:szCs w:val="24"/>
        </w:rPr>
        <w:t xml:space="preserve"> Tujuan dilakukannya hijrah dengan mengembangkan ilmu agama </w:t>
      </w:r>
      <w:proofErr w:type="gramStart"/>
      <w:r w:rsidRPr="009D4F46">
        <w:rPr>
          <w:rFonts w:ascii="Garamond" w:hAnsi="Garamond"/>
          <w:color w:val="000000" w:themeColor="text1"/>
          <w:sz w:val="24"/>
          <w:szCs w:val="24"/>
        </w:rPr>
        <w:t>islam</w:t>
      </w:r>
      <w:proofErr w:type="gramEnd"/>
      <w:r w:rsidRPr="009D4F46">
        <w:rPr>
          <w:rFonts w:ascii="Garamond" w:hAnsi="Garamond"/>
          <w:color w:val="000000" w:themeColor="text1"/>
          <w:sz w:val="24"/>
          <w:szCs w:val="24"/>
        </w:rPr>
        <w:t xml:space="preserve"> merupakan bentuk memperbaiki diri dari yang buruk menjadi baik, dari yang salah menjadi benar, bahkan dari yang haram menjadi halal. </w:t>
      </w:r>
      <w:r w:rsidRPr="009D4F46">
        <w:rPr>
          <w:rFonts w:ascii="Garamond" w:hAnsi="Garamond" w:cs="Times New Roman"/>
          <w:color w:val="000000" w:themeColor="text1"/>
          <w:sz w:val="24"/>
          <w:szCs w:val="24"/>
        </w:rPr>
        <w:t xml:space="preserve">Makna yang diperoleh milenial dalam hijrah islami </w:t>
      </w:r>
      <w:proofErr w:type="gramStart"/>
      <w:r w:rsidRPr="009D4F46">
        <w:rPr>
          <w:rFonts w:ascii="Garamond" w:hAnsi="Garamond" w:cs="Times New Roman"/>
          <w:color w:val="000000" w:themeColor="text1"/>
          <w:sz w:val="24"/>
          <w:szCs w:val="24"/>
        </w:rPr>
        <w:t>akan</w:t>
      </w:r>
      <w:proofErr w:type="gramEnd"/>
      <w:r w:rsidRPr="009D4F46">
        <w:rPr>
          <w:rFonts w:ascii="Garamond" w:hAnsi="Garamond" w:cs="Times New Roman"/>
          <w:color w:val="000000" w:themeColor="text1"/>
          <w:sz w:val="24"/>
          <w:szCs w:val="24"/>
        </w:rPr>
        <w:t xml:space="preserve"> memberikan arti dalam hidup yang tidak hanya terpaku kenikmatan duniawi, tetapi dibalik itu semua terdapat “tempat tinggal abadi yaitu surga” sebagai tempat yang kekal. </w:t>
      </w:r>
      <w:r w:rsidR="00A619F1" w:rsidRPr="009D4F46">
        <w:rPr>
          <w:rFonts w:ascii="Garamond" w:hAnsi="Garamond" w:cs="Times New Roman"/>
          <w:sz w:val="24"/>
          <w:szCs w:val="24"/>
        </w:rPr>
        <w:t xml:space="preserve">Hijrah mengandung tiga makna diantaranya: (1) Hijrah makaniyah (teritorial); (2) Hijrah nafsiyah yaitu pindah secara spiritual dan intelektual seperti dari kekakfiran kepada keimanan; (3) Hijrah amaliyah merupakan hijrah atau pindah secara perilaku dan perbuatan seperti meninggalkan yang dilarang dan melaksanakan yang diperintahkan oleh ajaran agama Islam </w:t>
      </w:r>
      <w:r w:rsidR="00A619F1" w:rsidRPr="009D4F46">
        <w:rPr>
          <w:rFonts w:ascii="Garamond" w:hAnsi="Garamond" w:cs="Times New Roman"/>
          <w:sz w:val="24"/>
          <w:szCs w:val="24"/>
        </w:rPr>
        <w:fldChar w:fldCharType="begin" w:fldLock="1"/>
      </w:r>
      <w:r w:rsidR="00A619F1" w:rsidRPr="009D4F46">
        <w:rPr>
          <w:rFonts w:ascii="Garamond" w:hAnsi="Garamond" w:cs="Times New Roman"/>
          <w:sz w:val="24"/>
          <w:szCs w:val="24"/>
        </w:rPr>
        <w:instrText>ADDIN CSL_CITATION { "citationItems" : [ { "id" : "ITEM-1", "itemData" : { "ISSN" : "1978-8169", "author" : [ { "dropping-particle" : "", "family" : "Ibrohim", "given" : "B.", "non-dropping-particle" : "", "parse-names" : false, "suffix" : "" } ], "container-title" : "Studia Didkatika Jurnal Ilmiah Pendidikan", "id" : "ITEM-1", "issue" : "2", "issued" : { "date-parts" : [ [ "2016" ] ] }, "page" : "65-74", "title" : "Memaknai momentum hijrah", "type" : "article-journal", "volume" : "10" }, "uris" : [ "http://www.mendeley.com/documents/?uuid=18bb488d-40fc-4691-b7f7-88e13ed625f1" ] } ], "mendeley" : { "formattedCitation" : "(Ibrohim, 2016)", "plainTextFormattedCitation" : "(Ibrohim, 2016)", "previouslyFormattedCitation" : "(Ibrohim, 2016)" }, "properties" : {  }, "schema" : "https://github.com/citation-style-language/schema/raw/master/csl-citation.json" }</w:instrText>
      </w:r>
      <w:r w:rsidR="00A619F1" w:rsidRPr="009D4F46">
        <w:rPr>
          <w:rFonts w:ascii="Garamond" w:hAnsi="Garamond" w:cs="Times New Roman"/>
          <w:sz w:val="24"/>
          <w:szCs w:val="24"/>
        </w:rPr>
        <w:fldChar w:fldCharType="separate"/>
      </w:r>
      <w:r w:rsidR="00A619F1" w:rsidRPr="009D4F46">
        <w:rPr>
          <w:rFonts w:ascii="Garamond" w:hAnsi="Garamond" w:cs="Times New Roman"/>
          <w:noProof/>
          <w:sz w:val="24"/>
          <w:szCs w:val="24"/>
        </w:rPr>
        <w:t>(Ibrohim, 2016)</w:t>
      </w:r>
      <w:r w:rsidR="00A619F1" w:rsidRPr="009D4F46">
        <w:rPr>
          <w:rFonts w:ascii="Garamond" w:hAnsi="Garamond" w:cs="Times New Roman"/>
          <w:sz w:val="24"/>
          <w:szCs w:val="24"/>
        </w:rPr>
        <w:fldChar w:fldCharType="end"/>
      </w:r>
      <w:r w:rsidR="00A619F1" w:rsidRPr="009D4F46">
        <w:rPr>
          <w:rFonts w:ascii="Garamond" w:hAnsi="Garamond" w:cs="Times New Roman"/>
          <w:sz w:val="24"/>
          <w:szCs w:val="24"/>
        </w:rPr>
        <w:t xml:space="preserve">. </w:t>
      </w:r>
      <w:r w:rsidRPr="009D4F46">
        <w:rPr>
          <w:rFonts w:ascii="Garamond" w:hAnsi="Garamond" w:cs="Times New Roman"/>
          <w:color w:val="000000" w:themeColor="text1"/>
          <w:sz w:val="24"/>
          <w:szCs w:val="24"/>
        </w:rPr>
        <w:t xml:space="preserve">Pemaknaan </w:t>
      </w:r>
      <w:proofErr w:type="gramStart"/>
      <w:r w:rsidRPr="009D4F46">
        <w:rPr>
          <w:rFonts w:ascii="Garamond" w:hAnsi="Garamond" w:cs="Times New Roman"/>
          <w:color w:val="000000" w:themeColor="text1"/>
          <w:sz w:val="24"/>
          <w:szCs w:val="24"/>
        </w:rPr>
        <w:t>akan</w:t>
      </w:r>
      <w:proofErr w:type="gramEnd"/>
      <w:r w:rsidRPr="009D4F46">
        <w:rPr>
          <w:rFonts w:ascii="Garamond" w:hAnsi="Garamond" w:cs="Times New Roman"/>
          <w:color w:val="000000" w:themeColor="text1"/>
          <w:sz w:val="24"/>
          <w:szCs w:val="24"/>
        </w:rPr>
        <w:t xml:space="preserve"> berorientasi pada agama islam, dengan melaksanakan perintah dan ajaran agama islam dari Allah swt. </w:t>
      </w:r>
      <w:proofErr w:type="gramStart"/>
      <w:r w:rsidRPr="009D4F46">
        <w:rPr>
          <w:rFonts w:ascii="Garamond" w:hAnsi="Garamond" w:cs="Times New Roman"/>
          <w:color w:val="000000" w:themeColor="text1"/>
          <w:sz w:val="24"/>
          <w:szCs w:val="24"/>
        </w:rPr>
        <w:t>maka</w:t>
      </w:r>
      <w:proofErr w:type="gramEnd"/>
      <w:r w:rsidRPr="009D4F46">
        <w:rPr>
          <w:rFonts w:ascii="Garamond" w:hAnsi="Garamond" w:cs="Times New Roman"/>
          <w:color w:val="000000" w:themeColor="text1"/>
          <w:sz w:val="24"/>
          <w:szCs w:val="24"/>
        </w:rPr>
        <w:t xml:space="preserve"> umat islam akan lebih memfokuskan diri pada ibadah, karena yakin bahwa jika hanya mencari dunia maka manusia tidak akan pernah puas dan tidak akan abadi, sedangkan tujuannya menjadi memperoleh ridho Allah swt. </w:t>
      </w:r>
      <w:proofErr w:type="gramStart"/>
      <w:r w:rsidRPr="009D4F46">
        <w:rPr>
          <w:rFonts w:ascii="Garamond" w:hAnsi="Garamond" w:cs="Times New Roman"/>
          <w:color w:val="000000" w:themeColor="text1"/>
          <w:sz w:val="24"/>
          <w:szCs w:val="24"/>
        </w:rPr>
        <w:t>dan</w:t>
      </w:r>
      <w:proofErr w:type="gramEnd"/>
      <w:r w:rsidRPr="009D4F46">
        <w:rPr>
          <w:rFonts w:ascii="Garamond" w:hAnsi="Garamond" w:cs="Times New Roman"/>
          <w:color w:val="000000" w:themeColor="text1"/>
          <w:sz w:val="24"/>
          <w:szCs w:val="24"/>
        </w:rPr>
        <w:t xml:space="preserve"> surga, maka dunia akan mengikuti, sebab segala sesuatu</w:t>
      </w:r>
      <w:r w:rsidRPr="009D4F46">
        <w:rPr>
          <w:rFonts w:ascii="Garamond" w:hAnsi="Garamond"/>
          <w:color w:val="000000" w:themeColor="text1"/>
          <w:sz w:val="24"/>
          <w:szCs w:val="24"/>
        </w:rPr>
        <w:t xml:space="preserve"> dari Allah swt. </w:t>
      </w:r>
      <w:proofErr w:type="gramStart"/>
      <w:r w:rsidRPr="009D4F46">
        <w:rPr>
          <w:rFonts w:ascii="Garamond" w:hAnsi="Garamond"/>
          <w:color w:val="000000" w:themeColor="text1"/>
          <w:sz w:val="24"/>
          <w:szCs w:val="24"/>
        </w:rPr>
        <w:t>pasti</w:t>
      </w:r>
      <w:proofErr w:type="gramEnd"/>
      <w:r w:rsidRPr="009D4F46">
        <w:rPr>
          <w:rFonts w:ascii="Garamond" w:hAnsi="Garamond"/>
          <w:color w:val="000000" w:themeColor="text1"/>
          <w:sz w:val="24"/>
          <w:szCs w:val="24"/>
        </w:rPr>
        <w:t xml:space="preserve"> dan selalu terbaik untuk hamba-hambanya.</w:t>
      </w:r>
    </w:p>
    <w:p w:rsidR="002B6480" w:rsidRPr="009D4F46" w:rsidRDefault="008526A6" w:rsidP="002B6480">
      <w:pPr>
        <w:spacing w:after="0" w:line="360" w:lineRule="auto"/>
        <w:jc w:val="both"/>
        <w:rPr>
          <w:rFonts w:ascii="Garamond" w:hAnsi="Garamond" w:cs="Times New Roman"/>
          <w:b/>
          <w:sz w:val="24"/>
          <w:szCs w:val="24"/>
        </w:rPr>
      </w:pPr>
      <w:r w:rsidRPr="009D4F46">
        <w:rPr>
          <w:rFonts w:ascii="Garamond" w:hAnsi="Garamond" w:cs="Times New Roman"/>
          <w:b/>
          <w:sz w:val="24"/>
          <w:szCs w:val="24"/>
        </w:rPr>
        <w:t>KESIMPULAN</w:t>
      </w:r>
    </w:p>
    <w:p w:rsidR="002B6480" w:rsidRPr="009D4F46" w:rsidRDefault="003F14DF" w:rsidP="002F1C9C">
      <w:pPr>
        <w:spacing w:line="360" w:lineRule="auto"/>
        <w:ind w:firstLine="720"/>
        <w:jc w:val="both"/>
        <w:rPr>
          <w:rFonts w:ascii="Garamond" w:hAnsi="Garamond"/>
          <w:color w:val="000000" w:themeColor="text1"/>
          <w:sz w:val="24"/>
          <w:szCs w:val="24"/>
        </w:rPr>
      </w:pPr>
      <w:proofErr w:type="gramStart"/>
      <w:r w:rsidRPr="009D4F46">
        <w:rPr>
          <w:rFonts w:ascii="Garamond" w:hAnsi="Garamond"/>
          <w:color w:val="000000" w:themeColor="text1"/>
          <w:sz w:val="24"/>
          <w:szCs w:val="24"/>
        </w:rPr>
        <w:t xml:space="preserve">Hijrah islami </w:t>
      </w:r>
      <w:r w:rsidR="002B6480" w:rsidRPr="009D4F46">
        <w:rPr>
          <w:rFonts w:ascii="Garamond" w:hAnsi="Garamond"/>
          <w:color w:val="000000" w:themeColor="text1"/>
          <w:sz w:val="24"/>
          <w:szCs w:val="24"/>
        </w:rPr>
        <w:t>milenial yang berkembang sangat besar di Indonesia, yang disebabkan oleh adanya keinginan individu atau kelompok untuk menjadi pribadi yang lebih baik lagi dari sisi agama Islam.</w:t>
      </w:r>
      <w:proofErr w:type="gramEnd"/>
      <w:r w:rsidR="002B6480" w:rsidRPr="009D4F46">
        <w:rPr>
          <w:rFonts w:ascii="Garamond" w:hAnsi="Garamond"/>
          <w:color w:val="000000" w:themeColor="text1"/>
          <w:sz w:val="24"/>
          <w:szCs w:val="24"/>
        </w:rPr>
        <w:t xml:space="preserve"> Milenal memiliki berbagai alasan dan </w:t>
      </w:r>
      <w:proofErr w:type="gramStart"/>
      <w:r w:rsidR="002B6480" w:rsidRPr="009D4F46">
        <w:rPr>
          <w:rFonts w:ascii="Garamond" w:hAnsi="Garamond"/>
          <w:color w:val="000000" w:themeColor="text1"/>
          <w:sz w:val="24"/>
          <w:szCs w:val="24"/>
        </w:rPr>
        <w:t>cara</w:t>
      </w:r>
      <w:proofErr w:type="gramEnd"/>
      <w:r w:rsidR="002B6480" w:rsidRPr="009D4F46">
        <w:rPr>
          <w:rFonts w:ascii="Garamond" w:hAnsi="Garamond"/>
          <w:color w:val="000000" w:themeColor="text1"/>
          <w:sz w:val="24"/>
          <w:szCs w:val="24"/>
        </w:rPr>
        <w:t xml:space="preserve"> dalam melakukan hijrah islami. Berdasarkan gerakan sosial baru (GSB) terdapat paradigma berorientasi identitas yang dijadikan pisau analisis,</w:t>
      </w:r>
      <w:r w:rsidR="00404380" w:rsidRPr="009D4F46">
        <w:rPr>
          <w:rFonts w:ascii="Garamond" w:hAnsi="Garamond"/>
          <w:color w:val="000000" w:themeColor="text1"/>
          <w:sz w:val="24"/>
          <w:szCs w:val="24"/>
        </w:rPr>
        <w:t xml:space="preserve"> yaitu</w:t>
      </w:r>
      <w:r w:rsidR="002B6480" w:rsidRPr="009D4F46">
        <w:rPr>
          <w:rFonts w:ascii="Garamond" w:hAnsi="Garamond"/>
          <w:color w:val="000000" w:themeColor="text1"/>
          <w:sz w:val="24"/>
          <w:szCs w:val="24"/>
        </w:rPr>
        <w:t>: (1) Fenomena hijrah islami milenial, ekspresi yang timbul adalah ekspresi kuat dalam perkemban</w:t>
      </w:r>
      <w:r w:rsidR="00404380" w:rsidRPr="009D4F46">
        <w:rPr>
          <w:rFonts w:ascii="Garamond" w:hAnsi="Garamond"/>
          <w:color w:val="000000" w:themeColor="text1"/>
          <w:sz w:val="24"/>
          <w:szCs w:val="24"/>
        </w:rPr>
        <w:t xml:space="preserve">gan hijrah islami di Indonesia pada kalangan artis, pelaku ekonomi, dan hijrah melalui media sosial. (2) </w:t>
      </w:r>
      <w:r w:rsidR="002B6480" w:rsidRPr="009D4F46">
        <w:rPr>
          <w:rFonts w:ascii="Garamond" w:hAnsi="Garamond"/>
          <w:color w:val="000000" w:themeColor="text1"/>
          <w:sz w:val="24"/>
          <w:szCs w:val="24"/>
        </w:rPr>
        <w:t xml:space="preserve">Ekspresi milineal dalam hijrah islami, terlihat pada gagasan yang </w:t>
      </w:r>
      <w:r w:rsidR="002B6480" w:rsidRPr="009D4F46">
        <w:rPr>
          <w:rFonts w:ascii="Garamond" w:hAnsi="Garamond"/>
          <w:color w:val="000000" w:themeColor="text1"/>
          <w:sz w:val="24"/>
          <w:szCs w:val="24"/>
        </w:rPr>
        <w:lastRenderedPageBreak/>
        <w:t xml:space="preserve">maju dari para milenial yang memiliki pola pikir lebih kritis dan terbuka dalam memahami, melaksanakan, mengikuti segala perintah dalam ajaran agama </w:t>
      </w:r>
      <w:proofErr w:type="gramStart"/>
      <w:r w:rsidR="002B6480" w:rsidRPr="009D4F46">
        <w:rPr>
          <w:rFonts w:ascii="Garamond" w:hAnsi="Garamond"/>
          <w:color w:val="000000" w:themeColor="text1"/>
          <w:sz w:val="24"/>
          <w:szCs w:val="24"/>
        </w:rPr>
        <w:t>islam</w:t>
      </w:r>
      <w:proofErr w:type="gramEnd"/>
      <w:r w:rsidR="002B6480" w:rsidRPr="009D4F46">
        <w:rPr>
          <w:rFonts w:ascii="Garamond" w:hAnsi="Garamond"/>
          <w:color w:val="000000" w:themeColor="text1"/>
          <w:sz w:val="24"/>
          <w:szCs w:val="24"/>
        </w:rPr>
        <w:t xml:space="preserve">. </w:t>
      </w:r>
      <w:r w:rsidR="00404380" w:rsidRPr="009D4F46">
        <w:rPr>
          <w:rFonts w:ascii="Garamond" w:hAnsi="Garamond"/>
          <w:color w:val="000000" w:themeColor="text1"/>
          <w:sz w:val="24"/>
          <w:szCs w:val="24"/>
        </w:rPr>
        <w:t xml:space="preserve">(3) </w:t>
      </w:r>
      <w:r w:rsidR="002B6480" w:rsidRPr="009D4F46">
        <w:rPr>
          <w:rFonts w:ascii="Garamond" w:hAnsi="Garamond"/>
          <w:color w:val="000000" w:themeColor="text1"/>
          <w:sz w:val="24"/>
          <w:szCs w:val="24"/>
        </w:rPr>
        <w:t xml:space="preserve">Perilaku ekspresif dari hijrah islami milenial diterapkan dengan </w:t>
      </w:r>
      <w:proofErr w:type="gramStart"/>
      <w:r w:rsidR="002B6480" w:rsidRPr="009D4F46">
        <w:rPr>
          <w:rFonts w:ascii="Garamond" w:hAnsi="Garamond"/>
          <w:color w:val="000000" w:themeColor="text1"/>
          <w:sz w:val="24"/>
          <w:szCs w:val="24"/>
        </w:rPr>
        <w:t>cara</w:t>
      </w:r>
      <w:proofErr w:type="gramEnd"/>
      <w:r w:rsidR="002B6480" w:rsidRPr="009D4F46">
        <w:rPr>
          <w:rFonts w:ascii="Garamond" w:hAnsi="Garamond"/>
          <w:color w:val="000000" w:themeColor="text1"/>
          <w:sz w:val="24"/>
          <w:szCs w:val="24"/>
        </w:rPr>
        <w:t xml:space="preserve"> mengikuti berbagai kajian-kajian islam yang sekarang menyebar diberbagai daerah seperti salah satunya Kota Bandung. </w:t>
      </w:r>
      <w:r w:rsidR="00404380" w:rsidRPr="009D4F46">
        <w:rPr>
          <w:rFonts w:ascii="Garamond" w:hAnsi="Garamond"/>
          <w:color w:val="000000" w:themeColor="text1"/>
          <w:sz w:val="24"/>
          <w:szCs w:val="24"/>
        </w:rPr>
        <w:t xml:space="preserve">(4) </w:t>
      </w:r>
      <w:r w:rsidR="002B6480" w:rsidRPr="009D4F46">
        <w:rPr>
          <w:rFonts w:ascii="Garamond" w:hAnsi="Garamond"/>
          <w:color w:val="000000" w:themeColor="text1"/>
          <w:sz w:val="24"/>
          <w:szCs w:val="24"/>
        </w:rPr>
        <w:t xml:space="preserve">Peran dan posisi aktor milenial dalam melaksanakan hijrah tidak mudah, peran yang dapat ditunjukkan oleh milenial adalah mereka berperan sebagai </w:t>
      </w:r>
      <w:proofErr w:type="gramStart"/>
      <w:r w:rsidR="002B6480" w:rsidRPr="009D4F46">
        <w:rPr>
          <w:rFonts w:ascii="Garamond" w:hAnsi="Garamond"/>
          <w:color w:val="000000" w:themeColor="text1"/>
          <w:sz w:val="24"/>
          <w:szCs w:val="24"/>
        </w:rPr>
        <w:t>muslim</w:t>
      </w:r>
      <w:proofErr w:type="gramEnd"/>
      <w:r w:rsidR="002B6480" w:rsidRPr="009D4F46">
        <w:rPr>
          <w:rFonts w:ascii="Garamond" w:hAnsi="Garamond"/>
          <w:color w:val="000000" w:themeColor="text1"/>
          <w:sz w:val="24"/>
          <w:szCs w:val="24"/>
        </w:rPr>
        <w:t xml:space="preserve"> dan muslimah yang sesuai dengan ajaran agama islam</w:t>
      </w:r>
      <w:r w:rsidR="00404380" w:rsidRPr="009D4F46">
        <w:rPr>
          <w:rFonts w:ascii="Garamond" w:hAnsi="Garamond"/>
          <w:color w:val="000000" w:themeColor="text1"/>
          <w:sz w:val="24"/>
          <w:szCs w:val="24"/>
        </w:rPr>
        <w:t xml:space="preserve">. (5) </w:t>
      </w:r>
      <w:r w:rsidR="002B6480" w:rsidRPr="009D4F46">
        <w:rPr>
          <w:rFonts w:ascii="Garamond" w:hAnsi="Garamond"/>
          <w:color w:val="000000" w:themeColor="text1"/>
          <w:sz w:val="24"/>
          <w:szCs w:val="24"/>
        </w:rPr>
        <w:t>Hijrah islami para milenial adalah menempatkan individu-individu yang hijrah islami ke arah tujuan hidup</w:t>
      </w:r>
      <w:r w:rsidR="00404380" w:rsidRPr="009D4F46">
        <w:rPr>
          <w:rFonts w:ascii="Garamond" w:hAnsi="Garamond"/>
          <w:color w:val="000000" w:themeColor="text1"/>
          <w:sz w:val="24"/>
          <w:szCs w:val="24"/>
        </w:rPr>
        <w:t xml:space="preserve"> yang lebih baik dan terarah.</w:t>
      </w:r>
    </w:p>
    <w:p w:rsidR="004A5FE7" w:rsidRPr="009D4F46" w:rsidRDefault="003E29D9" w:rsidP="008526A6">
      <w:pPr>
        <w:spacing w:after="0" w:line="360" w:lineRule="auto"/>
        <w:jc w:val="both"/>
        <w:rPr>
          <w:rFonts w:ascii="Garamond" w:hAnsi="Garamond" w:cs="Times New Roman"/>
          <w:b/>
          <w:sz w:val="24"/>
          <w:szCs w:val="24"/>
        </w:rPr>
      </w:pPr>
      <w:r w:rsidRPr="009D4F46">
        <w:rPr>
          <w:rFonts w:ascii="Garamond" w:hAnsi="Garamond" w:cs="Times New Roman"/>
          <w:b/>
          <w:sz w:val="24"/>
          <w:szCs w:val="24"/>
        </w:rPr>
        <w:t>DAFTAR PUSTAKA</w:t>
      </w:r>
    </w:p>
    <w:p w:rsidR="00A014E8" w:rsidRPr="009D4F46" w:rsidRDefault="00A014E8" w:rsidP="009D739C">
      <w:pPr>
        <w:spacing w:after="0" w:line="360" w:lineRule="auto"/>
        <w:jc w:val="both"/>
        <w:rPr>
          <w:rFonts w:ascii="Garamond" w:hAnsi="Garamond" w:cs="Times New Roman"/>
          <w:b/>
          <w:sz w:val="24"/>
          <w:szCs w:val="24"/>
        </w:rPr>
      </w:pPr>
      <w:r w:rsidRPr="009D4F46">
        <w:rPr>
          <w:rFonts w:ascii="Garamond" w:hAnsi="Garamond" w:cs="Times New Roman"/>
          <w:b/>
          <w:sz w:val="24"/>
          <w:szCs w:val="24"/>
        </w:rPr>
        <w:t>Jurnal</w:t>
      </w:r>
    </w:p>
    <w:p w:rsidR="00A619F1" w:rsidRPr="009D4F46" w:rsidRDefault="0061535D" w:rsidP="009D739C">
      <w:pPr>
        <w:widowControl w:val="0"/>
        <w:autoSpaceDE w:val="0"/>
        <w:autoSpaceDN w:val="0"/>
        <w:adjustRightInd w:val="0"/>
        <w:spacing w:line="240" w:lineRule="auto"/>
        <w:ind w:left="480" w:hanging="480"/>
        <w:jc w:val="both"/>
        <w:rPr>
          <w:rFonts w:ascii="Garamond" w:hAnsi="Garamond" w:cs="Times New Roman"/>
          <w:noProof/>
          <w:sz w:val="24"/>
          <w:szCs w:val="24"/>
        </w:rPr>
      </w:pPr>
      <w:r w:rsidRPr="009D4F46">
        <w:rPr>
          <w:rFonts w:ascii="Garamond" w:hAnsi="Garamond" w:cs="Times New Roman"/>
          <w:sz w:val="24"/>
          <w:szCs w:val="24"/>
        </w:rPr>
        <w:fldChar w:fldCharType="begin" w:fldLock="1"/>
      </w:r>
      <w:r w:rsidRPr="009D4F46">
        <w:rPr>
          <w:rFonts w:ascii="Garamond" w:hAnsi="Garamond" w:cs="Times New Roman"/>
          <w:sz w:val="24"/>
          <w:szCs w:val="24"/>
        </w:rPr>
        <w:instrText xml:space="preserve">ADDIN Mendeley Bibliography CSL_BIBLIOGRAPHY </w:instrText>
      </w:r>
      <w:r w:rsidRPr="009D4F46">
        <w:rPr>
          <w:rFonts w:ascii="Garamond" w:hAnsi="Garamond" w:cs="Times New Roman"/>
          <w:sz w:val="24"/>
          <w:szCs w:val="24"/>
        </w:rPr>
        <w:fldChar w:fldCharType="separate"/>
      </w:r>
      <w:r w:rsidR="00A619F1" w:rsidRPr="009D4F46">
        <w:rPr>
          <w:rFonts w:ascii="Garamond" w:hAnsi="Garamond" w:cs="Times New Roman"/>
          <w:noProof/>
          <w:sz w:val="24"/>
          <w:szCs w:val="24"/>
        </w:rPr>
        <w:t xml:space="preserve">Abdullah, S. D. A. (2018). Peran Hanan Attaki dalam Membangun Persepsi Generasi Milenial Tentang Tuhan (Analisis Isi Atas Video “Kangen” di Youtube), </w:t>
      </w:r>
      <w:r w:rsidR="00A619F1" w:rsidRPr="009D4F46">
        <w:rPr>
          <w:rFonts w:ascii="Garamond" w:hAnsi="Garamond" w:cs="Times New Roman"/>
          <w:i/>
          <w:iCs/>
          <w:noProof/>
          <w:sz w:val="24"/>
          <w:szCs w:val="24"/>
        </w:rPr>
        <w:t>7</w:t>
      </w:r>
      <w:r w:rsidR="00A619F1" w:rsidRPr="009D4F46">
        <w:rPr>
          <w:rFonts w:ascii="Garamond" w:hAnsi="Garamond" w:cs="Times New Roman"/>
          <w:noProof/>
          <w:sz w:val="24"/>
          <w:szCs w:val="24"/>
        </w:rPr>
        <w:t>(1), 65–74.</w:t>
      </w:r>
    </w:p>
    <w:p w:rsidR="00A619F1" w:rsidRPr="009D4F46" w:rsidRDefault="00A619F1" w:rsidP="009D739C">
      <w:pPr>
        <w:widowControl w:val="0"/>
        <w:autoSpaceDE w:val="0"/>
        <w:autoSpaceDN w:val="0"/>
        <w:adjustRightInd w:val="0"/>
        <w:spacing w:line="240" w:lineRule="auto"/>
        <w:ind w:left="480" w:hanging="480"/>
        <w:jc w:val="both"/>
        <w:rPr>
          <w:rFonts w:ascii="Garamond" w:hAnsi="Garamond" w:cs="Times New Roman"/>
          <w:noProof/>
          <w:sz w:val="24"/>
          <w:szCs w:val="24"/>
        </w:rPr>
      </w:pPr>
      <w:r w:rsidRPr="009D4F46">
        <w:rPr>
          <w:rFonts w:ascii="Garamond" w:hAnsi="Garamond" w:cs="Times New Roman"/>
          <w:noProof/>
          <w:sz w:val="24"/>
          <w:szCs w:val="24"/>
        </w:rPr>
        <w:t xml:space="preserve">Annisa, F. (2018). Hijrah Milenial: Antara Kesalehan dan Populism. </w:t>
      </w:r>
      <w:r w:rsidRPr="009D4F46">
        <w:rPr>
          <w:rFonts w:ascii="Garamond" w:hAnsi="Garamond" w:cs="Times New Roman"/>
          <w:i/>
          <w:iCs/>
          <w:noProof/>
          <w:sz w:val="24"/>
          <w:szCs w:val="24"/>
        </w:rPr>
        <w:t>Maarif Institute</w:t>
      </w:r>
      <w:r w:rsidRPr="009D4F46">
        <w:rPr>
          <w:rFonts w:ascii="Garamond" w:hAnsi="Garamond" w:cs="Times New Roman"/>
          <w:noProof/>
          <w:sz w:val="24"/>
          <w:szCs w:val="24"/>
        </w:rPr>
        <w:t xml:space="preserve">, </w:t>
      </w:r>
      <w:r w:rsidRPr="009D4F46">
        <w:rPr>
          <w:rFonts w:ascii="Garamond" w:hAnsi="Garamond" w:cs="Times New Roman"/>
          <w:i/>
          <w:iCs/>
          <w:noProof/>
          <w:sz w:val="24"/>
          <w:szCs w:val="24"/>
        </w:rPr>
        <w:t>13</w:t>
      </w:r>
      <w:r w:rsidRPr="009D4F46">
        <w:rPr>
          <w:rFonts w:ascii="Garamond" w:hAnsi="Garamond" w:cs="Times New Roman"/>
          <w:noProof/>
          <w:sz w:val="24"/>
          <w:szCs w:val="24"/>
        </w:rPr>
        <w:t>(1), 38–54.</w:t>
      </w:r>
    </w:p>
    <w:p w:rsidR="00A014E8" w:rsidRPr="009D4F46" w:rsidRDefault="00A014E8" w:rsidP="009D739C">
      <w:pPr>
        <w:widowControl w:val="0"/>
        <w:autoSpaceDE w:val="0"/>
        <w:autoSpaceDN w:val="0"/>
        <w:adjustRightInd w:val="0"/>
        <w:spacing w:line="240" w:lineRule="auto"/>
        <w:ind w:left="480" w:hanging="480"/>
        <w:jc w:val="both"/>
        <w:rPr>
          <w:rFonts w:ascii="Garamond" w:hAnsi="Garamond" w:cs="Times New Roman"/>
          <w:noProof/>
          <w:sz w:val="24"/>
          <w:szCs w:val="24"/>
        </w:rPr>
      </w:pPr>
      <w:r w:rsidRPr="009D4F46">
        <w:rPr>
          <w:rFonts w:ascii="Garamond" w:hAnsi="Garamond" w:cs="Times New Roman"/>
          <w:noProof/>
          <w:sz w:val="24"/>
          <w:szCs w:val="24"/>
        </w:rPr>
        <w:t xml:space="preserve">Fatoni, U. &amp; Rais, A. N. (2018). Pengelolaan Kesan Da ’ i dalam Kegiatan Dakwah Pemuda Hijrah. </w:t>
      </w:r>
      <w:r w:rsidRPr="009D4F46">
        <w:rPr>
          <w:rFonts w:ascii="Garamond" w:hAnsi="Garamond" w:cs="Times New Roman"/>
          <w:i/>
          <w:iCs/>
          <w:noProof/>
          <w:sz w:val="24"/>
          <w:szCs w:val="24"/>
        </w:rPr>
        <w:t>Dakwah Dan Komunikasi</w:t>
      </w:r>
      <w:r w:rsidRPr="009D4F46">
        <w:rPr>
          <w:rFonts w:ascii="Garamond" w:hAnsi="Garamond" w:cs="Times New Roman"/>
          <w:noProof/>
          <w:sz w:val="24"/>
          <w:szCs w:val="24"/>
        </w:rPr>
        <w:t xml:space="preserve">, </w:t>
      </w:r>
      <w:r w:rsidRPr="009D4F46">
        <w:rPr>
          <w:rFonts w:ascii="Garamond" w:hAnsi="Garamond" w:cs="Times New Roman"/>
          <w:i/>
          <w:iCs/>
          <w:noProof/>
          <w:sz w:val="24"/>
          <w:szCs w:val="24"/>
        </w:rPr>
        <w:t>12</w:t>
      </w:r>
      <w:r w:rsidRPr="009D4F46">
        <w:rPr>
          <w:rFonts w:ascii="Garamond" w:hAnsi="Garamond" w:cs="Times New Roman"/>
          <w:noProof/>
          <w:sz w:val="24"/>
          <w:szCs w:val="24"/>
        </w:rPr>
        <w:t>(2), 211–222.</w:t>
      </w:r>
    </w:p>
    <w:p w:rsidR="00A014E8" w:rsidRPr="009D4F46" w:rsidRDefault="00A014E8" w:rsidP="009D739C">
      <w:pPr>
        <w:widowControl w:val="0"/>
        <w:autoSpaceDE w:val="0"/>
        <w:autoSpaceDN w:val="0"/>
        <w:adjustRightInd w:val="0"/>
        <w:spacing w:line="240" w:lineRule="auto"/>
        <w:ind w:left="480" w:hanging="480"/>
        <w:jc w:val="both"/>
        <w:rPr>
          <w:rFonts w:ascii="Garamond" w:hAnsi="Garamond" w:cs="Times New Roman"/>
          <w:noProof/>
          <w:sz w:val="24"/>
          <w:szCs w:val="24"/>
        </w:rPr>
      </w:pPr>
      <w:r w:rsidRPr="009D4F46">
        <w:rPr>
          <w:rFonts w:ascii="Garamond" w:hAnsi="Garamond" w:cs="Times New Roman"/>
          <w:noProof/>
          <w:sz w:val="24"/>
          <w:szCs w:val="24"/>
        </w:rPr>
        <w:t xml:space="preserve">Ibrohim, B. (2016). Memaknai momentum hijrah. </w:t>
      </w:r>
      <w:r w:rsidRPr="009D4F46">
        <w:rPr>
          <w:rFonts w:ascii="Garamond" w:hAnsi="Garamond" w:cs="Times New Roman"/>
          <w:i/>
          <w:iCs/>
          <w:noProof/>
          <w:sz w:val="24"/>
          <w:szCs w:val="24"/>
        </w:rPr>
        <w:t>Studia Didkatika Jurnal Ilmiah Pendidikan</w:t>
      </w:r>
      <w:r w:rsidRPr="009D4F46">
        <w:rPr>
          <w:rFonts w:ascii="Garamond" w:hAnsi="Garamond" w:cs="Times New Roman"/>
          <w:noProof/>
          <w:sz w:val="24"/>
          <w:szCs w:val="24"/>
        </w:rPr>
        <w:t xml:space="preserve">, </w:t>
      </w:r>
      <w:r w:rsidRPr="009D4F46">
        <w:rPr>
          <w:rFonts w:ascii="Garamond" w:hAnsi="Garamond" w:cs="Times New Roman"/>
          <w:i/>
          <w:iCs/>
          <w:noProof/>
          <w:sz w:val="24"/>
          <w:szCs w:val="24"/>
        </w:rPr>
        <w:t>10</w:t>
      </w:r>
      <w:r w:rsidRPr="009D4F46">
        <w:rPr>
          <w:rFonts w:ascii="Garamond" w:hAnsi="Garamond" w:cs="Times New Roman"/>
          <w:noProof/>
          <w:sz w:val="24"/>
          <w:szCs w:val="24"/>
        </w:rPr>
        <w:t>(2), 65–74.</w:t>
      </w:r>
    </w:p>
    <w:p w:rsidR="00AE1EE9" w:rsidRPr="009D4F46" w:rsidRDefault="00AE1EE9" w:rsidP="009D739C">
      <w:pPr>
        <w:widowControl w:val="0"/>
        <w:autoSpaceDE w:val="0"/>
        <w:autoSpaceDN w:val="0"/>
        <w:adjustRightInd w:val="0"/>
        <w:spacing w:line="240" w:lineRule="auto"/>
        <w:ind w:left="480" w:hanging="480"/>
        <w:jc w:val="both"/>
        <w:rPr>
          <w:rFonts w:ascii="Garamond" w:hAnsi="Garamond" w:cs="Times New Roman"/>
          <w:noProof/>
          <w:sz w:val="24"/>
          <w:szCs w:val="24"/>
        </w:rPr>
      </w:pPr>
      <w:r w:rsidRPr="009D4F46">
        <w:rPr>
          <w:rFonts w:ascii="Garamond" w:hAnsi="Garamond" w:cs="Times New Roman"/>
          <w:noProof/>
          <w:sz w:val="24"/>
          <w:szCs w:val="24"/>
        </w:rPr>
        <w:t xml:space="preserve">Munir, M. (2018). Membingkai Kepribadian Ulul Albab Generasi Muda. </w:t>
      </w:r>
      <w:r w:rsidRPr="009D4F46">
        <w:rPr>
          <w:rFonts w:ascii="Garamond" w:hAnsi="Garamond" w:cs="Times New Roman"/>
          <w:i/>
          <w:iCs/>
          <w:noProof/>
          <w:sz w:val="24"/>
          <w:szCs w:val="24"/>
        </w:rPr>
        <w:t>Ta’limuna</w:t>
      </w:r>
      <w:r w:rsidRPr="009D4F46">
        <w:rPr>
          <w:rFonts w:ascii="Garamond" w:hAnsi="Garamond" w:cs="Times New Roman"/>
          <w:noProof/>
          <w:sz w:val="24"/>
          <w:szCs w:val="24"/>
        </w:rPr>
        <w:t xml:space="preserve">, </w:t>
      </w:r>
      <w:r w:rsidRPr="009D4F46">
        <w:rPr>
          <w:rFonts w:ascii="Garamond" w:hAnsi="Garamond" w:cs="Times New Roman"/>
          <w:i/>
          <w:iCs/>
          <w:noProof/>
          <w:sz w:val="24"/>
          <w:szCs w:val="24"/>
        </w:rPr>
        <w:t>7</w:t>
      </w:r>
      <w:r w:rsidRPr="009D4F46">
        <w:rPr>
          <w:rFonts w:ascii="Garamond" w:hAnsi="Garamond" w:cs="Times New Roman"/>
          <w:noProof/>
          <w:sz w:val="24"/>
          <w:szCs w:val="24"/>
        </w:rPr>
        <w:t>(1).</w:t>
      </w:r>
    </w:p>
    <w:p w:rsidR="00AE1EE9" w:rsidRPr="009D4F46" w:rsidRDefault="00AE1EE9" w:rsidP="009D739C">
      <w:pPr>
        <w:widowControl w:val="0"/>
        <w:autoSpaceDE w:val="0"/>
        <w:autoSpaceDN w:val="0"/>
        <w:adjustRightInd w:val="0"/>
        <w:spacing w:line="240" w:lineRule="auto"/>
        <w:ind w:left="480" w:hanging="480"/>
        <w:jc w:val="both"/>
        <w:rPr>
          <w:rFonts w:ascii="Garamond" w:hAnsi="Garamond" w:cs="Times New Roman"/>
          <w:noProof/>
          <w:sz w:val="24"/>
          <w:szCs w:val="24"/>
        </w:rPr>
      </w:pPr>
      <w:r w:rsidRPr="009D4F46">
        <w:rPr>
          <w:rFonts w:ascii="Garamond" w:hAnsi="Garamond" w:cs="Times New Roman"/>
          <w:noProof/>
          <w:sz w:val="24"/>
          <w:szCs w:val="24"/>
        </w:rPr>
        <w:t>Uberman, Matan &amp; Shay, S. (2016). Hijrah According to the Islamic State</w:t>
      </w:r>
      <w:r w:rsidRPr="009D4F46">
        <w:rPr>
          <w:rFonts w:ascii="Times New Roman" w:hAnsi="Times New Roman" w:cs="Times New Roman"/>
          <w:noProof/>
          <w:sz w:val="24"/>
          <w:szCs w:val="24"/>
        </w:rPr>
        <w:t> </w:t>
      </w:r>
      <w:r w:rsidRPr="009D4F46">
        <w:rPr>
          <w:rFonts w:ascii="Garamond" w:hAnsi="Garamond" w:cs="Times New Roman"/>
          <w:noProof/>
          <w:sz w:val="24"/>
          <w:szCs w:val="24"/>
        </w:rPr>
        <w:t xml:space="preserve">: An Analysis of Dabiq, </w:t>
      </w:r>
      <w:r w:rsidRPr="009D4F46">
        <w:rPr>
          <w:rFonts w:ascii="Garamond" w:hAnsi="Garamond" w:cs="Times New Roman"/>
          <w:i/>
          <w:iCs/>
          <w:noProof/>
          <w:sz w:val="24"/>
          <w:szCs w:val="24"/>
        </w:rPr>
        <w:t>8</w:t>
      </w:r>
      <w:r w:rsidRPr="009D4F46">
        <w:rPr>
          <w:rFonts w:ascii="Garamond" w:hAnsi="Garamond" w:cs="Times New Roman"/>
          <w:noProof/>
          <w:sz w:val="24"/>
          <w:szCs w:val="24"/>
        </w:rPr>
        <w:t>(9), 16–20. https://doi.org/10.2307/26351451</w:t>
      </w:r>
    </w:p>
    <w:p w:rsidR="00AE1EE9" w:rsidRPr="009D4F46" w:rsidRDefault="00AE1EE9" w:rsidP="009D739C">
      <w:pPr>
        <w:widowControl w:val="0"/>
        <w:autoSpaceDE w:val="0"/>
        <w:autoSpaceDN w:val="0"/>
        <w:adjustRightInd w:val="0"/>
        <w:spacing w:line="240" w:lineRule="auto"/>
        <w:ind w:left="480" w:hanging="480"/>
        <w:jc w:val="both"/>
        <w:rPr>
          <w:rFonts w:ascii="Garamond" w:hAnsi="Garamond" w:cs="Times New Roman"/>
          <w:noProof/>
          <w:sz w:val="24"/>
          <w:szCs w:val="24"/>
        </w:rPr>
      </w:pPr>
      <w:r w:rsidRPr="009D4F46">
        <w:rPr>
          <w:rFonts w:ascii="Garamond" w:hAnsi="Garamond" w:cs="Times New Roman"/>
          <w:noProof/>
          <w:sz w:val="24"/>
          <w:szCs w:val="24"/>
        </w:rPr>
        <w:t xml:space="preserve">Walidah, I. A. (2017). Tabayyun di era generasi millennial. </w:t>
      </w:r>
      <w:r w:rsidRPr="009D4F46">
        <w:rPr>
          <w:rFonts w:ascii="Garamond" w:hAnsi="Garamond" w:cs="Times New Roman"/>
          <w:i/>
          <w:iCs/>
          <w:noProof/>
          <w:sz w:val="24"/>
          <w:szCs w:val="24"/>
        </w:rPr>
        <w:t>Living Hadis</w:t>
      </w:r>
      <w:r w:rsidRPr="009D4F46">
        <w:rPr>
          <w:rFonts w:ascii="Garamond" w:hAnsi="Garamond" w:cs="Times New Roman"/>
          <w:noProof/>
          <w:sz w:val="24"/>
          <w:szCs w:val="24"/>
        </w:rPr>
        <w:t xml:space="preserve">, </w:t>
      </w:r>
      <w:r w:rsidRPr="009D4F46">
        <w:rPr>
          <w:rFonts w:ascii="Garamond" w:hAnsi="Garamond" w:cs="Times New Roman"/>
          <w:i/>
          <w:iCs/>
          <w:noProof/>
          <w:sz w:val="24"/>
          <w:szCs w:val="24"/>
        </w:rPr>
        <w:t>2</w:t>
      </w:r>
      <w:r w:rsidRPr="009D4F46">
        <w:rPr>
          <w:rFonts w:ascii="Garamond" w:hAnsi="Garamond" w:cs="Times New Roman"/>
          <w:noProof/>
          <w:sz w:val="24"/>
          <w:szCs w:val="24"/>
        </w:rPr>
        <w:t>(1), 317–344.</w:t>
      </w:r>
    </w:p>
    <w:p w:rsidR="00AE1EE9" w:rsidRPr="009D4F46" w:rsidRDefault="00AE1EE9" w:rsidP="009D739C">
      <w:pPr>
        <w:widowControl w:val="0"/>
        <w:autoSpaceDE w:val="0"/>
        <w:autoSpaceDN w:val="0"/>
        <w:adjustRightInd w:val="0"/>
        <w:spacing w:line="240" w:lineRule="auto"/>
        <w:ind w:left="480" w:hanging="480"/>
        <w:jc w:val="both"/>
        <w:rPr>
          <w:rFonts w:ascii="Garamond" w:hAnsi="Garamond" w:cs="Times New Roman"/>
          <w:noProof/>
          <w:sz w:val="24"/>
          <w:szCs w:val="24"/>
        </w:rPr>
      </w:pPr>
      <w:r w:rsidRPr="009D4F46">
        <w:rPr>
          <w:rFonts w:ascii="Garamond" w:hAnsi="Garamond" w:cs="Times New Roman"/>
          <w:noProof/>
          <w:sz w:val="24"/>
          <w:szCs w:val="24"/>
        </w:rPr>
        <w:t>Yasin, N. A. Mohd &amp; Azman, N. A. B. (2019). Islamic State ’ s Online Social Movement Lifecycle</w:t>
      </w:r>
      <w:r w:rsidRPr="009D4F46">
        <w:rPr>
          <w:rFonts w:ascii="Times New Roman" w:hAnsi="Times New Roman" w:cs="Times New Roman"/>
          <w:noProof/>
          <w:sz w:val="24"/>
          <w:szCs w:val="24"/>
        </w:rPr>
        <w:t> </w:t>
      </w:r>
      <w:r w:rsidRPr="009D4F46">
        <w:rPr>
          <w:rFonts w:ascii="Garamond" w:hAnsi="Garamond" w:cs="Times New Roman"/>
          <w:noProof/>
          <w:sz w:val="24"/>
          <w:szCs w:val="24"/>
        </w:rPr>
        <w:t xml:space="preserve">: From Emergence to Repression in Southeast Asia, </w:t>
      </w:r>
      <w:r w:rsidRPr="009D4F46">
        <w:rPr>
          <w:rFonts w:ascii="Garamond" w:hAnsi="Garamond" w:cs="Times New Roman"/>
          <w:i/>
          <w:iCs/>
          <w:noProof/>
          <w:sz w:val="24"/>
          <w:szCs w:val="24"/>
        </w:rPr>
        <w:t>11</w:t>
      </w:r>
      <w:r w:rsidRPr="009D4F46">
        <w:rPr>
          <w:rFonts w:ascii="Garamond" w:hAnsi="Garamond" w:cs="Times New Roman"/>
          <w:noProof/>
          <w:sz w:val="24"/>
          <w:szCs w:val="24"/>
        </w:rPr>
        <w:t>(1), 80–85. https://doi.org/10.2307/26568582</w:t>
      </w:r>
    </w:p>
    <w:p w:rsidR="00AE1EE9" w:rsidRPr="009D4F46" w:rsidRDefault="00AE1EE9" w:rsidP="009D739C">
      <w:pPr>
        <w:widowControl w:val="0"/>
        <w:autoSpaceDE w:val="0"/>
        <w:autoSpaceDN w:val="0"/>
        <w:adjustRightInd w:val="0"/>
        <w:spacing w:line="240" w:lineRule="auto"/>
        <w:ind w:left="480" w:hanging="480"/>
        <w:jc w:val="both"/>
        <w:rPr>
          <w:rFonts w:ascii="Garamond" w:hAnsi="Garamond" w:cs="Times New Roman"/>
          <w:noProof/>
          <w:sz w:val="24"/>
        </w:rPr>
      </w:pPr>
      <w:r w:rsidRPr="009D4F46">
        <w:rPr>
          <w:rFonts w:ascii="Garamond" w:hAnsi="Garamond" w:cs="Times New Roman"/>
          <w:noProof/>
          <w:sz w:val="24"/>
          <w:szCs w:val="24"/>
        </w:rPr>
        <w:t xml:space="preserve">Zulhazmi, A. Z., &amp; Hastuti, D. A. S. (2018). Da’wa, Muslim Millennials and Social Media, </w:t>
      </w:r>
      <w:r w:rsidRPr="009D4F46">
        <w:rPr>
          <w:rFonts w:ascii="Garamond" w:hAnsi="Garamond" w:cs="Times New Roman"/>
          <w:i/>
          <w:iCs/>
          <w:noProof/>
          <w:sz w:val="24"/>
          <w:szCs w:val="24"/>
        </w:rPr>
        <w:t>II</w:t>
      </w:r>
      <w:r w:rsidRPr="009D4F46">
        <w:rPr>
          <w:rFonts w:ascii="Garamond" w:hAnsi="Garamond" w:cs="Times New Roman"/>
          <w:noProof/>
          <w:sz w:val="24"/>
          <w:szCs w:val="24"/>
        </w:rPr>
        <w:t>(2), 121–138.</w:t>
      </w:r>
    </w:p>
    <w:p w:rsidR="00CD5CE2" w:rsidRPr="009D4F46" w:rsidRDefault="00CD5CE2" w:rsidP="009D739C">
      <w:pPr>
        <w:spacing w:after="0" w:line="360" w:lineRule="auto"/>
        <w:jc w:val="both"/>
        <w:rPr>
          <w:rFonts w:ascii="Garamond" w:hAnsi="Garamond" w:cs="Times New Roman"/>
          <w:b/>
          <w:sz w:val="24"/>
          <w:szCs w:val="24"/>
        </w:rPr>
      </w:pPr>
      <w:r w:rsidRPr="009D4F46">
        <w:rPr>
          <w:rFonts w:ascii="Garamond" w:hAnsi="Garamond" w:cs="Times New Roman"/>
          <w:b/>
          <w:sz w:val="24"/>
          <w:szCs w:val="24"/>
        </w:rPr>
        <w:t>Buku/E-book</w:t>
      </w:r>
    </w:p>
    <w:p w:rsidR="009D739C" w:rsidRPr="009D4F46" w:rsidRDefault="009D739C" w:rsidP="009D739C">
      <w:pPr>
        <w:widowControl w:val="0"/>
        <w:autoSpaceDE w:val="0"/>
        <w:autoSpaceDN w:val="0"/>
        <w:adjustRightInd w:val="0"/>
        <w:spacing w:line="240" w:lineRule="auto"/>
        <w:ind w:left="480" w:hanging="480"/>
        <w:jc w:val="both"/>
        <w:rPr>
          <w:rFonts w:ascii="Garamond" w:hAnsi="Garamond" w:cs="Times New Roman"/>
          <w:noProof/>
          <w:sz w:val="24"/>
          <w:szCs w:val="24"/>
        </w:rPr>
      </w:pPr>
      <w:r w:rsidRPr="009D4F46">
        <w:rPr>
          <w:rFonts w:ascii="Garamond" w:hAnsi="Garamond" w:cs="Times New Roman"/>
          <w:noProof/>
          <w:sz w:val="24"/>
          <w:szCs w:val="24"/>
        </w:rPr>
        <w:t xml:space="preserve">Nazir, M. (1998). </w:t>
      </w:r>
      <w:r w:rsidRPr="009D4F46">
        <w:rPr>
          <w:rFonts w:ascii="Garamond" w:hAnsi="Garamond" w:cs="Times New Roman"/>
          <w:i/>
          <w:noProof/>
          <w:sz w:val="24"/>
          <w:szCs w:val="24"/>
        </w:rPr>
        <w:t>Metode Penelitian</w:t>
      </w:r>
      <w:r w:rsidRPr="009D4F46">
        <w:rPr>
          <w:rFonts w:ascii="Garamond" w:hAnsi="Garamond" w:cs="Times New Roman"/>
          <w:noProof/>
          <w:sz w:val="24"/>
          <w:szCs w:val="24"/>
        </w:rPr>
        <w:t>. Ghalia Indonesia: Jakarta</w:t>
      </w:r>
    </w:p>
    <w:p w:rsidR="009D739C" w:rsidRPr="009D4F46" w:rsidRDefault="00CD5CE2" w:rsidP="009D739C">
      <w:pPr>
        <w:widowControl w:val="0"/>
        <w:autoSpaceDE w:val="0"/>
        <w:autoSpaceDN w:val="0"/>
        <w:adjustRightInd w:val="0"/>
        <w:spacing w:line="240" w:lineRule="auto"/>
        <w:ind w:left="480" w:hanging="480"/>
        <w:jc w:val="both"/>
        <w:rPr>
          <w:rFonts w:ascii="Garamond" w:hAnsi="Garamond" w:cs="Times New Roman"/>
          <w:noProof/>
          <w:sz w:val="24"/>
          <w:szCs w:val="24"/>
        </w:rPr>
      </w:pPr>
      <w:r w:rsidRPr="009D4F46">
        <w:rPr>
          <w:rFonts w:ascii="Garamond" w:hAnsi="Garamond" w:cs="Times New Roman"/>
          <w:noProof/>
          <w:sz w:val="24"/>
          <w:szCs w:val="24"/>
        </w:rPr>
        <w:t xml:space="preserve">Rusmanto, J. (2018). </w:t>
      </w:r>
      <w:r w:rsidRPr="009D4F46">
        <w:rPr>
          <w:rFonts w:ascii="Garamond" w:hAnsi="Garamond" w:cs="Times New Roman"/>
          <w:i/>
          <w:iCs/>
          <w:noProof/>
          <w:sz w:val="24"/>
          <w:szCs w:val="24"/>
        </w:rPr>
        <w:t>Gerakan Sosial, Sejarah Perkembangan Teori antara Kekuatan dan Kelemahan</w:t>
      </w:r>
      <w:r w:rsidRPr="009D4F46">
        <w:rPr>
          <w:rFonts w:ascii="Garamond" w:hAnsi="Garamond" w:cs="Times New Roman"/>
          <w:noProof/>
          <w:sz w:val="24"/>
          <w:szCs w:val="24"/>
        </w:rPr>
        <w:t>.</w:t>
      </w:r>
    </w:p>
    <w:p w:rsidR="00CD5CE2" w:rsidRPr="009D4F46" w:rsidRDefault="009D739C" w:rsidP="009D739C">
      <w:pPr>
        <w:widowControl w:val="0"/>
        <w:autoSpaceDE w:val="0"/>
        <w:autoSpaceDN w:val="0"/>
        <w:adjustRightInd w:val="0"/>
        <w:spacing w:line="240" w:lineRule="auto"/>
        <w:ind w:left="480" w:hanging="480"/>
        <w:jc w:val="both"/>
        <w:rPr>
          <w:rFonts w:ascii="Garamond" w:hAnsi="Garamond" w:cs="Times New Roman"/>
          <w:noProof/>
          <w:sz w:val="24"/>
          <w:szCs w:val="24"/>
        </w:rPr>
      </w:pPr>
      <w:r w:rsidRPr="009D4F46">
        <w:rPr>
          <w:rFonts w:ascii="Garamond" w:hAnsi="Garamond" w:cs="Times New Roman"/>
          <w:noProof/>
          <w:sz w:val="24"/>
          <w:szCs w:val="24"/>
        </w:rPr>
        <w:t xml:space="preserve">Sarwono, J. (2006). </w:t>
      </w:r>
      <w:r w:rsidRPr="009D4F46">
        <w:rPr>
          <w:rFonts w:ascii="Garamond" w:hAnsi="Garamond" w:cs="Times New Roman"/>
          <w:i/>
          <w:noProof/>
          <w:sz w:val="24"/>
          <w:szCs w:val="24"/>
        </w:rPr>
        <w:t>Metode Penelitian Kuantiatif dan Kualitatif</w:t>
      </w:r>
      <w:r w:rsidRPr="009D4F46">
        <w:rPr>
          <w:rFonts w:ascii="Garamond" w:hAnsi="Garamond" w:cs="Times New Roman"/>
          <w:noProof/>
          <w:sz w:val="24"/>
          <w:szCs w:val="24"/>
        </w:rPr>
        <w:t xml:space="preserve"> . Yogyakarta: Graha Ilmu.</w:t>
      </w:r>
    </w:p>
    <w:p w:rsidR="00AE1EE9" w:rsidRPr="009D4F46" w:rsidRDefault="00AE1EE9" w:rsidP="009D739C">
      <w:pPr>
        <w:widowControl w:val="0"/>
        <w:autoSpaceDE w:val="0"/>
        <w:autoSpaceDN w:val="0"/>
        <w:adjustRightInd w:val="0"/>
        <w:spacing w:line="240" w:lineRule="auto"/>
        <w:jc w:val="both"/>
        <w:rPr>
          <w:rFonts w:ascii="Garamond" w:hAnsi="Garamond" w:cs="Times New Roman"/>
          <w:b/>
          <w:noProof/>
          <w:sz w:val="24"/>
          <w:szCs w:val="24"/>
        </w:rPr>
      </w:pPr>
      <w:r w:rsidRPr="009D4F46">
        <w:rPr>
          <w:rFonts w:ascii="Garamond" w:hAnsi="Garamond" w:cs="Times New Roman"/>
          <w:b/>
          <w:noProof/>
          <w:sz w:val="24"/>
          <w:szCs w:val="24"/>
        </w:rPr>
        <w:t>Dokumen Elektronik</w:t>
      </w:r>
    </w:p>
    <w:p w:rsidR="00A619F1" w:rsidRPr="009D4F46" w:rsidRDefault="00A619F1" w:rsidP="009D739C">
      <w:pPr>
        <w:widowControl w:val="0"/>
        <w:autoSpaceDE w:val="0"/>
        <w:autoSpaceDN w:val="0"/>
        <w:adjustRightInd w:val="0"/>
        <w:spacing w:line="240" w:lineRule="auto"/>
        <w:ind w:left="480" w:hanging="480"/>
        <w:jc w:val="both"/>
        <w:rPr>
          <w:rFonts w:ascii="Garamond" w:hAnsi="Garamond" w:cs="Times New Roman"/>
          <w:noProof/>
          <w:sz w:val="24"/>
          <w:szCs w:val="24"/>
        </w:rPr>
      </w:pPr>
      <w:r w:rsidRPr="009D4F46">
        <w:rPr>
          <w:rFonts w:ascii="Garamond" w:hAnsi="Garamond" w:cs="Times New Roman"/>
          <w:noProof/>
          <w:sz w:val="24"/>
          <w:szCs w:val="24"/>
        </w:rPr>
        <w:t xml:space="preserve">Budiati, I. (dkk). (2018). </w:t>
      </w:r>
      <w:r w:rsidRPr="009D4F46">
        <w:rPr>
          <w:rFonts w:ascii="Garamond" w:hAnsi="Garamond" w:cs="Times New Roman"/>
          <w:i/>
          <w:iCs/>
          <w:noProof/>
          <w:sz w:val="24"/>
          <w:szCs w:val="24"/>
        </w:rPr>
        <w:t>Statistik Gender Tematik: Profil Generasi Milenial Indonesia</w:t>
      </w:r>
      <w:r w:rsidRPr="009D4F46">
        <w:rPr>
          <w:rFonts w:ascii="Garamond" w:hAnsi="Garamond" w:cs="Times New Roman"/>
          <w:noProof/>
          <w:sz w:val="24"/>
          <w:szCs w:val="24"/>
        </w:rPr>
        <w:t>. (A. P. Said, A., Budiati, I., Rahayu, T. R. B., &amp; Raharjo, Ed.). Jakarta: © Kementerian Pemberdayaan Perempuan dan Perlindungan Anak. Retrieved from www.kemenpppa.go.id</w:t>
      </w:r>
    </w:p>
    <w:p w:rsidR="00A619F1" w:rsidRPr="009D4F46" w:rsidRDefault="00A619F1" w:rsidP="009D739C">
      <w:pPr>
        <w:widowControl w:val="0"/>
        <w:autoSpaceDE w:val="0"/>
        <w:autoSpaceDN w:val="0"/>
        <w:adjustRightInd w:val="0"/>
        <w:spacing w:line="240" w:lineRule="auto"/>
        <w:ind w:left="480" w:hanging="480"/>
        <w:jc w:val="both"/>
        <w:rPr>
          <w:rFonts w:ascii="Garamond" w:hAnsi="Garamond" w:cs="Times New Roman"/>
          <w:noProof/>
          <w:sz w:val="24"/>
          <w:szCs w:val="24"/>
        </w:rPr>
      </w:pPr>
      <w:r w:rsidRPr="009D4F46">
        <w:rPr>
          <w:rFonts w:ascii="Garamond" w:hAnsi="Garamond" w:cs="Times New Roman"/>
          <w:noProof/>
          <w:sz w:val="24"/>
          <w:szCs w:val="24"/>
        </w:rPr>
        <w:lastRenderedPageBreak/>
        <w:t xml:space="preserve">James, Elizabeth, &amp; Hope, S. (2015). </w:t>
      </w:r>
      <w:r w:rsidRPr="009D4F46">
        <w:rPr>
          <w:rFonts w:ascii="Garamond" w:hAnsi="Garamond" w:cs="Times New Roman"/>
          <w:i/>
          <w:iCs/>
          <w:noProof/>
          <w:sz w:val="24"/>
          <w:szCs w:val="24"/>
        </w:rPr>
        <w:t>Muslim Millennial Attitudes on Religion &amp; Religious Leadership</w:t>
      </w:r>
      <w:r w:rsidRPr="009D4F46">
        <w:rPr>
          <w:rFonts w:ascii="Garamond" w:hAnsi="Garamond" w:cs="Times New Roman"/>
          <w:noProof/>
          <w:sz w:val="24"/>
          <w:szCs w:val="24"/>
        </w:rPr>
        <w:t>. Uni Emirat Arab: Zogby Research Services, LLC. Retrieved from www.tabahfoundation.org</w:t>
      </w:r>
    </w:p>
    <w:p w:rsidR="00AE1EE9" w:rsidRPr="009D4F46" w:rsidRDefault="00AE1EE9" w:rsidP="009D739C">
      <w:pPr>
        <w:widowControl w:val="0"/>
        <w:autoSpaceDE w:val="0"/>
        <w:autoSpaceDN w:val="0"/>
        <w:adjustRightInd w:val="0"/>
        <w:spacing w:line="240" w:lineRule="auto"/>
        <w:ind w:left="480" w:hanging="480"/>
        <w:jc w:val="both"/>
        <w:rPr>
          <w:rFonts w:ascii="Garamond" w:hAnsi="Garamond" w:cs="Times New Roman"/>
          <w:b/>
          <w:noProof/>
          <w:sz w:val="24"/>
          <w:szCs w:val="24"/>
        </w:rPr>
      </w:pPr>
      <w:r w:rsidRPr="009D4F46">
        <w:rPr>
          <w:rFonts w:ascii="Garamond" w:hAnsi="Garamond" w:cs="Times New Roman"/>
          <w:b/>
          <w:noProof/>
          <w:sz w:val="24"/>
          <w:szCs w:val="24"/>
        </w:rPr>
        <w:t>Berita Online</w:t>
      </w:r>
    </w:p>
    <w:p w:rsidR="00A619F1" w:rsidRPr="009D4F46" w:rsidRDefault="00A619F1" w:rsidP="009D739C">
      <w:pPr>
        <w:widowControl w:val="0"/>
        <w:autoSpaceDE w:val="0"/>
        <w:autoSpaceDN w:val="0"/>
        <w:adjustRightInd w:val="0"/>
        <w:spacing w:line="240" w:lineRule="auto"/>
        <w:ind w:left="480" w:hanging="480"/>
        <w:jc w:val="both"/>
        <w:rPr>
          <w:rFonts w:ascii="Garamond" w:hAnsi="Garamond" w:cs="Times New Roman"/>
          <w:noProof/>
          <w:sz w:val="24"/>
          <w:szCs w:val="24"/>
        </w:rPr>
      </w:pPr>
      <w:r w:rsidRPr="009D4F46">
        <w:rPr>
          <w:rFonts w:ascii="Garamond" w:hAnsi="Garamond" w:cs="Times New Roman"/>
          <w:noProof/>
          <w:sz w:val="24"/>
          <w:szCs w:val="24"/>
        </w:rPr>
        <w:t>Raharjo, B. (2018). Fenomena Hijrah Pemuda</w:t>
      </w:r>
      <w:r w:rsidRPr="009D4F46">
        <w:rPr>
          <w:rFonts w:ascii="Times New Roman" w:hAnsi="Times New Roman" w:cs="Times New Roman"/>
          <w:noProof/>
          <w:sz w:val="24"/>
          <w:szCs w:val="24"/>
        </w:rPr>
        <w:t> </w:t>
      </w:r>
      <w:r w:rsidRPr="009D4F46">
        <w:rPr>
          <w:rFonts w:ascii="Garamond" w:hAnsi="Garamond" w:cs="Times New Roman"/>
          <w:noProof/>
          <w:sz w:val="24"/>
          <w:szCs w:val="24"/>
        </w:rPr>
        <w:t>: Membalik Stigma Muslim Milenial. Retrieved May 8, 2019, from https://republika.co.id/berita/nasional/news-analysis/pizuag415/fenomena-hijrah-pemuda-membalik- stigma-muslim-milenial-part1</w:t>
      </w:r>
    </w:p>
    <w:p w:rsidR="00AE1EE9" w:rsidRPr="009D4F46" w:rsidRDefault="00AE1EE9" w:rsidP="009D739C">
      <w:pPr>
        <w:widowControl w:val="0"/>
        <w:autoSpaceDE w:val="0"/>
        <w:autoSpaceDN w:val="0"/>
        <w:adjustRightInd w:val="0"/>
        <w:spacing w:line="240" w:lineRule="auto"/>
        <w:ind w:left="480" w:hanging="480"/>
        <w:jc w:val="both"/>
        <w:rPr>
          <w:rFonts w:ascii="Garamond" w:hAnsi="Garamond" w:cs="Times New Roman"/>
          <w:noProof/>
          <w:sz w:val="24"/>
          <w:szCs w:val="24"/>
        </w:rPr>
      </w:pPr>
      <w:r w:rsidRPr="009D4F46">
        <w:rPr>
          <w:rFonts w:ascii="Garamond" w:hAnsi="Garamond" w:cs="Times New Roman"/>
          <w:noProof/>
          <w:sz w:val="24"/>
          <w:szCs w:val="24"/>
        </w:rPr>
        <w:t>Yuniar, R. W. (2019). Gerakan Hijrah Milenial di Tengah Pusaran Pilpres 2019 , Berpengaruh? Retrieved May 8, 2019, from https://www.matamatapolitik.com/in-depth-gerakan-hijrah-milenial-di-tengah-pusaran-pilpres-2019- berpengaruh/</w:t>
      </w:r>
    </w:p>
    <w:p w:rsidR="004A5FE7" w:rsidRPr="009D4F46" w:rsidRDefault="0061535D" w:rsidP="009D739C">
      <w:pPr>
        <w:widowControl w:val="0"/>
        <w:autoSpaceDE w:val="0"/>
        <w:autoSpaceDN w:val="0"/>
        <w:adjustRightInd w:val="0"/>
        <w:spacing w:line="240" w:lineRule="auto"/>
        <w:jc w:val="both"/>
        <w:rPr>
          <w:rFonts w:ascii="Garamond" w:hAnsi="Garamond"/>
          <w:sz w:val="24"/>
          <w:szCs w:val="24"/>
        </w:rPr>
      </w:pPr>
      <w:r w:rsidRPr="009D4F46">
        <w:rPr>
          <w:rFonts w:ascii="Garamond" w:hAnsi="Garamond" w:cs="Times New Roman"/>
          <w:sz w:val="24"/>
          <w:szCs w:val="24"/>
        </w:rPr>
        <w:fldChar w:fldCharType="end"/>
      </w:r>
    </w:p>
    <w:sectPr w:rsidR="004A5FE7" w:rsidRPr="009D4F46" w:rsidSect="002754BA">
      <w:headerReference w:type="default" r:id="rId11"/>
      <w:footerReference w:type="default" r:id="rId12"/>
      <w:pgSz w:w="11907" w:h="16839" w:code="9"/>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9FD" w:rsidRDefault="003279FD" w:rsidP="009D739C">
      <w:pPr>
        <w:spacing w:after="0" w:line="240" w:lineRule="auto"/>
      </w:pPr>
      <w:r>
        <w:separator/>
      </w:r>
    </w:p>
  </w:endnote>
  <w:endnote w:type="continuationSeparator" w:id="0">
    <w:p w:rsidR="003279FD" w:rsidRDefault="003279FD" w:rsidP="009D7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39C" w:rsidRDefault="009D739C">
    <w:pPr>
      <w:pStyle w:val="Footer"/>
      <w:jc w:val="right"/>
    </w:pPr>
  </w:p>
  <w:p w:rsidR="009D739C" w:rsidRDefault="009D7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9FD" w:rsidRDefault="003279FD" w:rsidP="009D739C">
      <w:pPr>
        <w:spacing w:after="0" w:line="240" w:lineRule="auto"/>
      </w:pPr>
      <w:r>
        <w:separator/>
      </w:r>
    </w:p>
  </w:footnote>
  <w:footnote w:type="continuationSeparator" w:id="0">
    <w:p w:rsidR="003279FD" w:rsidRDefault="003279FD" w:rsidP="009D73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BA" w:rsidRPr="009D4F46" w:rsidRDefault="002754BA" w:rsidP="002754BA">
    <w:pPr>
      <w:spacing w:line="360" w:lineRule="auto"/>
      <w:jc w:val="right"/>
      <w:rPr>
        <w:rFonts w:ascii="Garamond" w:hAnsi="Garamond" w:cs="Times New Roman"/>
        <w:b/>
        <w:sz w:val="24"/>
        <w:szCs w:val="24"/>
      </w:rPr>
    </w:pPr>
    <w:r w:rsidRPr="009D4F46">
      <w:rPr>
        <w:rFonts w:ascii="Garamond" w:hAnsi="Garamond" w:cs="Times New Roman"/>
        <w:b/>
        <w:sz w:val="24"/>
        <w:szCs w:val="24"/>
      </w:rPr>
      <w:t>Hijrah Islami Milenial Berdasarkan Paradigma Berorientasi Identitas</w:t>
    </w:r>
  </w:p>
  <w:p w:rsidR="002754BA" w:rsidRPr="009D4F46" w:rsidRDefault="002754BA">
    <w:pPr>
      <w:pStyle w:val="Header"/>
      <w:rPr>
        <w:rFonts w:ascii="Garamond" w:hAnsi="Garamon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6E7"/>
    <w:multiLevelType w:val="hybridMultilevel"/>
    <w:tmpl w:val="6E088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132319"/>
    <w:multiLevelType w:val="hybridMultilevel"/>
    <w:tmpl w:val="94586228"/>
    <w:lvl w:ilvl="0" w:tplc="40C05836">
      <w:start w:val="1"/>
      <w:numFmt w:val="decimal"/>
      <w:lvlText w:val="%1."/>
      <w:lvlJc w:val="left"/>
      <w:pPr>
        <w:ind w:left="720" w:hanging="36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F6BA7"/>
    <w:multiLevelType w:val="hybridMultilevel"/>
    <w:tmpl w:val="80C0A3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636855"/>
    <w:multiLevelType w:val="hybridMultilevel"/>
    <w:tmpl w:val="B25AB57A"/>
    <w:lvl w:ilvl="0" w:tplc="80E0B9F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356C3"/>
    <w:multiLevelType w:val="hybridMultilevel"/>
    <w:tmpl w:val="577222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D77256"/>
    <w:multiLevelType w:val="hybridMultilevel"/>
    <w:tmpl w:val="EFB470DC"/>
    <w:lvl w:ilvl="0" w:tplc="3E0E1D6E">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6703B5"/>
    <w:multiLevelType w:val="hybridMultilevel"/>
    <w:tmpl w:val="599083D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A4552D"/>
    <w:multiLevelType w:val="hybridMultilevel"/>
    <w:tmpl w:val="2442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CF6136"/>
    <w:multiLevelType w:val="hybridMultilevel"/>
    <w:tmpl w:val="7DBE546A"/>
    <w:lvl w:ilvl="0" w:tplc="E4FE9E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913FAF"/>
    <w:multiLevelType w:val="hybridMultilevel"/>
    <w:tmpl w:val="05BC52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0EF1B9E"/>
    <w:multiLevelType w:val="hybridMultilevel"/>
    <w:tmpl w:val="2FF2AF8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0C0825"/>
    <w:multiLevelType w:val="hybridMultilevel"/>
    <w:tmpl w:val="7DBE546A"/>
    <w:lvl w:ilvl="0" w:tplc="E4FE9EF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090F78"/>
    <w:multiLevelType w:val="hybridMultilevel"/>
    <w:tmpl w:val="311C4CF4"/>
    <w:lvl w:ilvl="0" w:tplc="BCF6E32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70C7EC5"/>
    <w:multiLevelType w:val="hybridMultilevel"/>
    <w:tmpl w:val="141031C6"/>
    <w:lvl w:ilvl="0" w:tplc="B3368B94">
      <w:start w:val="1"/>
      <w:numFmt w:val="decimal"/>
      <w:lvlText w:val="%1."/>
      <w:lvlJc w:val="left"/>
      <w:pPr>
        <w:ind w:left="1725" w:hanging="1005"/>
      </w:pPr>
      <w:rPr>
        <w:rFonts w:ascii="Times New Roman" w:eastAsia="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34F6064"/>
    <w:multiLevelType w:val="hybridMultilevel"/>
    <w:tmpl w:val="6E44C3EE"/>
    <w:lvl w:ilvl="0" w:tplc="40C05836">
      <w:start w:val="1"/>
      <w:numFmt w:val="decimal"/>
      <w:lvlText w:val="%1."/>
      <w:lvlJc w:val="left"/>
      <w:pPr>
        <w:ind w:left="1440" w:hanging="360"/>
      </w:pPr>
      <w:rPr>
        <w:rFonts w:ascii="Times New Roman" w:eastAsia="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BA66F59"/>
    <w:multiLevelType w:val="hybridMultilevel"/>
    <w:tmpl w:val="CE68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5"/>
  </w:num>
  <w:num w:numId="4">
    <w:abstractNumId w:val="4"/>
  </w:num>
  <w:num w:numId="5">
    <w:abstractNumId w:val="10"/>
  </w:num>
  <w:num w:numId="6">
    <w:abstractNumId w:val="3"/>
  </w:num>
  <w:num w:numId="7">
    <w:abstractNumId w:val="1"/>
  </w:num>
  <w:num w:numId="8">
    <w:abstractNumId w:val="14"/>
  </w:num>
  <w:num w:numId="9">
    <w:abstractNumId w:val="13"/>
  </w:num>
  <w:num w:numId="10">
    <w:abstractNumId w:val="5"/>
  </w:num>
  <w:num w:numId="11">
    <w:abstractNumId w:val="7"/>
  </w:num>
  <w:num w:numId="12">
    <w:abstractNumId w:val="11"/>
  </w:num>
  <w:num w:numId="13">
    <w:abstractNumId w:val="8"/>
  </w:num>
  <w:num w:numId="14">
    <w:abstractNumId w:val="2"/>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750"/>
    <w:rsid w:val="00024745"/>
    <w:rsid w:val="000649B0"/>
    <w:rsid w:val="00071A89"/>
    <w:rsid w:val="00076A99"/>
    <w:rsid w:val="00083741"/>
    <w:rsid w:val="00097EB6"/>
    <w:rsid w:val="000A09C3"/>
    <w:rsid w:val="000A6B4D"/>
    <w:rsid w:val="000B1498"/>
    <w:rsid w:val="000B5C8E"/>
    <w:rsid w:val="000B71D2"/>
    <w:rsid w:val="000E08B2"/>
    <w:rsid w:val="000E6193"/>
    <w:rsid w:val="001002FE"/>
    <w:rsid w:val="00100B74"/>
    <w:rsid w:val="00111876"/>
    <w:rsid w:val="00113D73"/>
    <w:rsid w:val="00116E2B"/>
    <w:rsid w:val="00125D26"/>
    <w:rsid w:val="001714B0"/>
    <w:rsid w:val="0018038B"/>
    <w:rsid w:val="00186973"/>
    <w:rsid w:val="001A50B9"/>
    <w:rsid w:val="001A7B51"/>
    <w:rsid w:val="001B6851"/>
    <w:rsid w:val="001B7A30"/>
    <w:rsid w:val="001C2135"/>
    <w:rsid w:val="001C3A56"/>
    <w:rsid w:val="001E4C6A"/>
    <w:rsid w:val="00210190"/>
    <w:rsid w:val="00217CCD"/>
    <w:rsid w:val="00234300"/>
    <w:rsid w:val="002356F3"/>
    <w:rsid w:val="002471EF"/>
    <w:rsid w:val="002663E5"/>
    <w:rsid w:val="00271024"/>
    <w:rsid w:val="0027199E"/>
    <w:rsid w:val="002754BA"/>
    <w:rsid w:val="00285F8C"/>
    <w:rsid w:val="00287421"/>
    <w:rsid w:val="002938EF"/>
    <w:rsid w:val="002B6480"/>
    <w:rsid w:val="002B6F98"/>
    <w:rsid w:val="002C2CB4"/>
    <w:rsid w:val="002C416B"/>
    <w:rsid w:val="002F1C9C"/>
    <w:rsid w:val="002F42C0"/>
    <w:rsid w:val="002F5DA5"/>
    <w:rsid w:val="002F7A82"/>
    <w:rsid w:val="003036CE"/>
    <w:rsid w:val="00306AAE"/>
    <w:rsid w:val="0031692F"/>
    <w:rsid w:val="0031791B"/>
    <w:rsid w:val="0032280A"/>
    <w:rsid w:val="003279FD"/>
    <w:rsid w:val="003318CF"/>
    <w:rsid w:val="00335746"/>
    <w:rsid w:val="0033788C"/>
    <w:rsid w:val="00350465"/>
    <w:rsid w:val="003561D3"/>
    <w:rsid w:val="0036137F"/>
    <w:rsid w:val="00376C63"/>
    <w:rsid w:val="003906E2"/>
    <w:rsid w:val="00393EE7"/>
    <w:rsid w:val="003A3D43"/>
    <w:rsid w:val="003A6838"/>
    <w:rsid w:val="003B244C"/>
    <w:rsid w:val="003B3F3D"/>
    <w:rsid w:val="003B7A31"/>
    <w:rsid w:val="003C642A"/>
    <w:rsid w:val="003E24CD"/>
    <w:rsid w:val="003E29D9"/>
    <w:rsid w:val="003E428B"/>
    <w:rsid w:val="003F14DF"/>
    <w:rsid w:val="00404380"/>
    <w:rsid w:val="004072BE"/>
    <w:rsid w:val="00411A8B"/>
    <w:rsid w:val="00414D37"/>
    <w:rsid w:val="004337DC"/>
    <w:rsid w:val="00466267"/>
    <w:rsid w:val="00475C35"/>
    <w:rsid w:val="00482BD0"/>
    <w:rsid w:val="00494CD7"/>
    <w:rsid w:val="004956DA"/>
    <w:rsid w:val="00497815"/>
    <w:rsid w:val="004A0BED"/>
    <w:rsid w:val="004A22CF"/>
    <w:rsid w:val="004A5FE7"/>
    <w:rsid w:val="004C1763"/>
    <w:rsid w:val="004C1FED"/>
    <w:rsid w:val="004C54E8"/>
    <w:rsid w:val="004D114E"/>
    <w:rsid w:val="004D584C"/>
    <w:rsid w:val="004E4EB1"/>
    <w:rsid w:val="00501F1F"/>
    <w:rsid w:val="0050332A"/>
    <w:rsid w:val="00540437"/>
    <w:rsid w:val="00542634"/>
    <w:rsid w:val="00546A60"/>
    <w:rsid w:val="00547080"/>
    <w:rsid w:val="00571AC8"/>
    <w:rsid w:val="00587657"/>
    <w:rsid w:val="005919AE"/>
    <w:rsid w:val="00593B46"/>
    <w:rsid w:val="005B3DA5"/>
    <w:rsid w:val="005C176C"/>
    <w:rsid w:val="005C7170"/>
    <w:rsid w:val="005C7C55"/>
    <w:rsid w:val="005D6C7C"/>
    <w:rsid w:val="005E2639"/>
    <w:rsid w:val="005E3314"/>
    <w:rsid w:val="005E3480"/>
    <w:rsid w:val="005E3D27"/>
    <w:rsid w:val="005E6B9F"/>
    <w:rsid w:val="00611162"/>
    <w:rsid w:val="00614C6F"/>
    <w:rsid w:val="0061535D"/>
    <w:rsid w:val="006264D5"/>
    <w:rsid w:val="00652B49"/>
    <w:rsid w:val="0066103D"/>
    <w:rsid w:val="006640C9"/>
    <w:rsid w:val="006922DA"/>
    <w:rsid w:val="006A22E1"/>
    <w:rsid w:val="006A559A"/>
    <w:rsid w:val="006B2ED0"/>
    <w:rsid w:val="006B4501"/>
    <w:rsid w:val="006C77D9"/>
    <w:rsid w:val="006D2BF7"/>
    <w:rsid w:val="006D6182"/>
    <w:rsid w:val="006E39AA"/>
    <w:rsid w:val="006E5F3D"/>
    <w:rsid w:val="006F214C"/>
    <w:rsid w:val="0070101D"/>
    <w:rsid w:val="0070174D"/>
    <w:rsid w:val="0070214B"/>
    <w:rsid w:val="00713B71"/>
    <w:rsid w:val="0071756C"/>
    <w:rsid w:val="00722CA0"/>
    <w:rsid w:val="00732026"/>
    <w:rsid w:val="00732090"/>
    <w:rsid w:val="00745F83"/>
    <w:rsid w:val="00751F1C"/>
    <w:rsid w:val="00752B14"/>
    <w:rsid w:val="00753168"/>
    <w:rsid w:val="00763E7F"/>
    <w:rsid w:val="0078297F"/>
    <w:rsid w:val="00794289"/>
    <w:rsid w:val="007A1B7A"/>
    <w:rsid w:val="007A4E9D"/>
    <w:rsid w:val="007A7C55"/>
    <w:rsid w:val="007B28C1"/>
    <w:rsid w:val="007B36A2"/>
    <w:rsid w:val="007C02F9"/>
    <w:rsid w:val="007C21AB"/>
    <w:rsid w:val="007C4280"/>
    <w:rsid w:val="007D3545"/>
    <w:rsid w:val="007D60CD"/>
    <w:rsid w:val="007E76CB"/>
    <w:rsid w:val="007F524C"/>
    <w:rsid w:val="00800A58"/>
    <w:rsid w:val="00804A81"/>
    <w:rsid w:val="008210FE"/>
    <w:rsid w:val="00822BFF"/>
    <w:rsid w:val="00825B99"/>
    <w:rsid w:val="00847E68"/>
    <w:rsid w:val="008526A6"/>
    <w:rsid w:val="0086729D"/>
    <w:rsid w:val="00880625"/>
    <w:rsid w:val="0089183C"/>
    <w:rsid w:val="00891BA2"/>
    <w:rsid w:val="008A6780"/>
    <w:rsid w:val="008B61BB"/>
    <w:rsid w:val="008D2FA6"/>
    <w:rsid w:val="008F759A"/>
    <w:rsid w:val="0090169F"/>
    <w:rsid w:val="009075A0"/>
    <w:rsid w:val="00915C87"/>
    <w:rsid w:val="009207B1"/>
    <w:rsid w:val="009311F2"/>
    <w:rsid w:val="009343AD"/>
    <w:rsid w:val="00941464"/>
    <w:rsid w:val="009504BF"/>
    <w:rsid w:val="00956A38"/>
    <w:rsid w:val="009644E8"/>
    <w:rsid w:val="00967926"/>
    <w:rsid w:val="009743CE"/>
    <w:rsid w:val="00996E68"/>
    <w:rsid w:val="009B68EB"/>
    <w:rsid w:val="009C04D2"/>
    <w:rsid w:val="009C39A1"/>
    <w:rsid w:val="009D26D2"/>
    <w:rsid w:val="009D28B7"/>
    <w:rsid w:val="009D4F46"/>
    <w:rsid w:val="009D739C"/>
    <w:rsid w:val="009F614B"/>
    <w:rsid w:val="00A009F8"/>
    <w:rsid w:val="00A014E8"/>
    <w:rsid w:val="00A0498B"/>
    <w:rsid w:val="00A05B36"/>
    <w:rsid w:val="00A31747"/>
    <w:rsid w:val="00A403A6"/>
    <w:rsid w:val="00A4312C"/>
    <w:rsid w:val="00A46EAA"/>
    <w:rsid w:val="00A5381F"/>
    <w:rsid w:val="00A547DC"/>
    <w:rsid w:val="00A619F1"/>
    <w:rsid w:val="00A94033"/>
    <w:rsid w:val="00AA37F9"/>
    <w:rsid w:val="00AB393F"/>
    <w:rsid w:val="00AC1E55"/>
    <w:rsid w:val="00AD48EC"/>
    <w:rsid w:val="00AE1EE9"/>
    <w:rsid w:val="00AE5E38"/>
    <w:rsid w:val="00AF280D"/>
    <w:rsid w:val="00B0487B"/>
    <w:rsid w:val="00B13726"/>
    <w:rsid w:val="00B34A13"/>
    <w:rsid w:val="00B53111"/>
    <w:rsid w:val="00B61373"/>
    <w:rsid w:val="00B91E28"/>
    <w:rsid w:val="00BB4CE1"/>
    <w:rsid w:val="00BC5EFA"/>
    <w:rsid w:val="00BD759A"/>
    <w:rsid w:val="00BE7D9B"/>
    <w:rsid w:val="00BF3BCE"/>
    <w:rsid w:val="00C13893"/>
    <w:rsid w:val="00C15F1B"/>
    <w:rsid w:val="00C43BD6"/>
    <w:rsid w:val="00C55290"/>
    <w:rsid w:val="00C55874"/>
    <w:rsid w:val="00C700CC"/>
    <w:rsid w:val="00C7028C"/>
    <w:rsid w:val="00C721BF"/>
    <w:rsid w:val="00C736D2"/>
    <w:rsid w:val="00C739B9"/>
    <w:rsid w:val="00C7671E"/>
    <w:rsid w:val="00C779D3"/>
    <w:rsid w:val="00C84C89"/>
    <w:rsid w:val="00CA0E0A"/>
    <w:rsid w:val="00CC0DF8"/>
    <w:rsid w:val="00CD5CE2"/>
    <w:rsid w:val="00CE1539"/>
    <w:rsid w:val="00CF6786"/>
    <w:rsid w:val="00D13750"/>
    <w:rsid w:val="00D16FB2"/>
    <w:rsid w:val="00D17C2B"/>
    <w:rsid w:val="00D248C2"/>
    <w:rsid w:val="00D27F10"/>
    <w:rsid w:val="00D4130B"/>
    <w:rsid w:val="00D43C28"/>
    <w:rsid w:val="00D4558A"/>
    <w:rsid w:val="00D4564E"/>
    <w:rsid w:val="00D50AD4"/>
    <w:rsid w:val="00D57D9B"/>
    <w:rsid w:val="00D82F3B"/>
    <w:rsid w:val="00D84E24"/>
    <w:rsid w:val="00DA054C"/>
    <w:rsid w:val="00DA0789"/>
    <w:rsid w:val="00DB6E86"/>
    <w:rsid w:val="00DC415C"/>
    <w:rsid w:val="00DC4918"/>
    <w:rsid w:val="00DD4002"/>
    <w:rsid w:val="00DE23EB"/>
    <w:rsid w:val="00DE586F"/>
    <w:rsid w:val="00DE746D"/>
    <w:rsid w:val="00DE7C43"/>
    <w:rsid w:val="00DF5D86"/>
    <w:rsid w:val="00E024DE"/>
    <w:rsid w:val="00E30D32"/>
    <w:rsid w:val="00E31BE0"/>
    <w:rsid w:val="00E325FD"/>
    <w:rsid w:val="00E331C8"/>
    <w:rsid w:val="00E4052A"/>
    <w:rsid w:val="00E41959"/>
    <w:rsid w:val="00E61A30"/>
    <w:rsid w:val="00E71067"/>
    <w:rsid w:val="00E75617"/>
    <w:rsid w:val="00E757EE"/>
    <w:rsid w:val="00E95CBB"/>
    <w:rsid w:val="00EA1BEB"/>
    <w:rsid w:val="00EA433C"/>
    <w:rsid w:val="00EC421E"/>
    <w:rsid w:val="00EC5F6F"/>
    <w:rsid w:val="00ED0DAE"/>
    <w:rsid w:val="00ED2F0B"/>
    <w:rsid w:val="00ED306E"/>
    <w:rsid w:val="00ED4B0B"/>
    <w:rsid w:val="00EF666F"/>
    <w:rsid w:val="00F0327E"/>
    <w:rsid w:val="00F205D0"/>
    <w:rsid w:val="00F2784D"/>
    <w:rsid w:val="00F41361"/>
    <w:rsid w:val="00F56C01"/>
    <w:rsid w:val="00F67243"/>
    <w:rsid w:val="00F74D2D"/>
    <w:rsid w:val="00F77DE0"/>
    <w:rsid w:val="00F80B2E"/>
    <w:rsid w:val="00F9290B"/>
    <w:rsid w:val="00FA4C46"/>
    <w:rsid w:val="00FB18B6"/>
    <w:rsid w:val="00FB3DAE"/>
    <w:rsid w:val="00FB3E6E"/>
    <w:rsid w:val="00FB5E0B"/>
    <w:rsid w:val="00FC070C"/>
    <w:rsid w:val="00FC4DC5"/>
    <w:rsid w:val="00FD1710"/>
    <w:rsid w:val="00FF2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750"/>
    <w:rPr>
      <w:color w:val="0000FF" w:themeColor="hyperlink"/>
      <w:u w:val="single"/>
    </w:rPr>
  </w:style>
  <w:style w:type="paragraph" w:styleId="NormalWeb">
    <w:name w:val="Normal (Web)"/>
    <w:basedOn w:val="Normal"/>
    <w:uiPriority w:val="99"/>
    <w:unhideWhenUsed/>
    <w:rsid w:val="005C7170"/>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styleId="ListParagraph">
    <w:name w:val="List Paragraph"/>
    <w:basedOn w:val="Normal"/>
    <w:uiPriority w:val="34"/>
    <w:qFormat/>
    <w:rsid w:val="001B7A30"/>
    <w:pPr>
      <w:ind w:left="720"/>
      <w:contextualSpacing/>
    </w:pPr>
    <w:rPr>
      <w:rFonts w:ascii="Calibri" w:eastAsia="Calibri" w:hAnsi="Calibri" w:cs="Times New Roman"/>
    </w:rPr>
  </w:style>
  <w:style w:type="paragraph" w:styleId="Header">
    <w:name w:val="header"/>
    <w:basedOn w:val="Normal"/>
    <w:link w:val="HeaderChar"/>
    <w:uiPriority w:val="99"/>
    <w:unhideWhenUsed/>
    <w:rsid w:val="009D7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39C"/>
  </w:style>
  <w:style w:type="paragraph" w:styleId="Footer">
    <w:name w:val="footer"/>
    <w:basedOn w:val="Normal"/>
    <w:link w:val="FooterChar"/>
    <w:uiPriority w:val="99"/>
    <w:unhideWhenUsed/>
    <w:rsid w:val="009D7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39C"/>
  </w:style>
  <w:style w:type="paragraph" w:styleId="BalloonText">
    <w:name w:val="Balloon Text"/>
    <w:basedOn w:val="Normal"/>
    <w:link w:val="BalloonTextChar"/>
    <w:uiPriority w:val="99"/>
    <w:semiHidden/>
    <w:unhideWhenUsed/>
    <w:rsid w:val="00275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750"/>
    <w:rPr>
      <w:color w:val="0000FF" w:themeColor="hyperlink"/>
      <w:u w:val="single"/>
    </w:rPr>
  </w:style>
  <w:style w:type="paragraph" w:styleId="NormalWeb">
    <w:name w:val="Normal (Web)"/>
    <w:basedOn w:val="Normal"/>
    <w:uiPriority w:val="99"/>
    <w:unhideWhenUsed/>
    <w:rsid w:val="005C7170"/>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styleId="ListParagraph">
    <w:name w:val="List Paragraph"/>
    <w:basedOn w:val="Normal"/>
    <w:uiPriority w:val="34"/>
    <w:qFormat/>
    <w:rsid w:val="001B7A30"/>
    <w:pPr>
      <w:ind w:left="720"/>
      <w:contextualSpacing/>
    </w:pPr>
    <w:rPr>
      <w:rFonts w:ascii="Calibri" w:eastAsia="Calibri" w:hAnsi="Calibri" w:cs="Times New Roman"/>
    </w:rPr>
  </w:style>
  <w:style w:type="paragraph" w:styleId="Header">
    <w:name w:val="header"/>
    <w:basedOn w:val="Normal"/>
    <w:link w:val="HeaderChar"/>
    <w:uiPriority w:val="99"/>
    <w:unhideWhenUsed/>
    <w:rsid w:val="009D7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39C"/>
  </w:style>
  <w:style w:type="paragraph" w:styleId="Footer">
    <w:name w:val="footer"/>
    <w:basedOn w:val="Normal"/>
    <w:link w:val="FooterChar"/>
    <w:uiPriority w:val="99"/>
    <w:unhideWhenUsed/>
    <w:rsid w:val="009D7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39C"/>
  </w:style>
  <w:style w:type="paragraph" w:styleId="BalloonText">
    <w:name w:val="Balloon Text"/>
    <w:basedOn w:val="Normal"/>
    <w:link w:val="BalloonTextChar"/>
    <w:uiPriority w:val="99"/>
    <w:semiHidden/>
    <w:unhideWhenUsed/>
    <w:rsid w:val="00275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23268">
      <w:bodyDiv w:val="1"/>
      <w:marLeft w:val="0"/>
      <w:marRight w:val="0"/>
      <w:marTop w:val="0"/>
      <w:marBottom w:val="0"/>
      <w:divBdr>
        <w:top w:val="none" w:sz="0" w:space="0" w:color="auto"/>
        <w:left w:val="none" w:sz="0" w:space="0" w:color="auto"/>
        <w:bottom w:val="none" w:sz="0" w:space="0" w:color="auto"/>
        <w:right w:val="none" w:sz="0" w:space="0" w:color="auto"/>
      </w:divBdr>
    </w:div>
    <w:div w:id="932249996">
      <w:bodyDiv w:val="1"/>
      <w:marLeft w:val="0"/>
      <w:marRight w:val="0"/>
      <w:marTop w:val="0"/>
      <w:marBottom w:val="0"/>
      <w:divBdr>
        <w:top w:val="none" w:sz="0" w:space="0" w:color="auto"/>
        <w:left w:val="none" w:sz="0" w:space="0" w:color="auto"/>
        <w:bottom w:val="none" w:sz="0" w:space="0" w:color="auto"/>
        <w:right w:val="none" w:sz="0" w:space="0" w:color="auto"/>
      </w:divBdr>
    </w:div>
    <w:div w:id="1375615664">
      <w:bodyDiv w:val="1"/>
      <w:marLeft w:val="0"/>
      <w:marRight w:val="0"/>
      <w:marTop w:val="0"/>
      <w:marBottom w:val="0"/>
      <w:divBdr>
        <w:top w:val="none" w:sz="0" w:space="0" w:color="auto"/>
        <w:left w:val="none" w:sz="0" w:space="0" w:color="auto"/>
        <w:bottom w:val="none" w:sz="0" w:space="0" w:color="auto"/>
        <w:right w:val="none" w:sz="0" w:space="0" w:color="auto"/>
      </w:divBdr>
    </w:div>
    <w:div w:id="1647541694">
      <w:bodyDiv w:val="1"/>
      <w:marLeft w:val="0"/>
      <w:marRight w:val="0"/>
      <w:marTop w:val="0"/>
      <w:marBottom w:val="0"/>
      <w:divBdr>
        <w:top w:val="none" w:sz="0" w:space="0" w:color="auto"/>
        <w:left w:val="none" w:sz="0" w:space="0" w:color="auto"/>
        <w:bottom w:val="none" w:sz="0" w:space="0" w:color="auto"/>
        <w:right w:val="none" w:sz="0" w:space="0" w:color="auto"/>
      </w:divBdr>
    </w:div>
    <w:div w:id="2019503848">
      <w:bodyDiv w:val="1"/>
      <w:marLeft w:val="0"/>
      <w:marRight w:val="0"/>
      <w:marTop w:val="0"/>
      <w:marBottom w:val="0"/>
      <w:divBdr>
        <w:top w:val="none" w:sz="0" w:space="0" w:color="auto"/>
        <w:left w:val="none" w:sz="0" w:space="0" w:color="auto"/>
        <w:bottom w:val="none" w:sz="0" w:space="0" w:color="auto"/>
        <w:right w:val="none" w:sz="0" w:space="0" w:color="auto"/>
      </w:divBdr>
      <w:divsChild>
        <w:div w:id="764501968">
          <w:marLeft w:val="0"/>
          <w:marRight w:val="0"/>
          <w:marTop w:val="0"/>
          <w:marBottom w:val="0"/>
          <w:divBdr>
            <w:top w:val="none" w:sz="0" w:space="0" w:color="auto"/>
            <w:left w:val="none" w:sz="0" w:space="0" w:color="auto"/>
            <w:bottom w:val="none" w:sz="0" w:space="0" w:color="auto"/>
            <w:right w:val="none" w:sz="0" w:space="0" w:color="auto"/>
          </w:divBdr>
        </w:div>
        <w:div w:id="359480878">
          <w:marLeft w:val="0"/>
          <w:marRight w:val="0"/>
          <w:marTop w:val="0"/>
          <w:marBottom w:val="0"/>
          <w:divBdr>
            <w:top w:val="none" w:sz="0" w:space="0" w:color="auto"/>
            <w:left w:val="none" w:sz="0" w:space="0" w:color="auto"/>
            <w:bottom w:val="none" w:sz="0" w:space="0" w:color="auto"/>
            <w:right w:val="none" w:sz="0" w:space="0" w:color="auto"/>
          </w:divBdr>
        </w:div>
        <w:div w:id="1870800660">
          <w:marLeft w:val="0"/>
          <w:marRight w:val="0"/>
          <w:marTop w:val="0"/>
          <w:marBottom w:val="0"/>
          <w:divBdr>
            <w:top w:val="none" w:sz="0" w:space="0" w:color="auto"/>
            <w:left w:val="none" w:sz="0" w:space="0" w:color="auto"/>
            <w:bottom w:val="none" w:sz="0" w:space="0" w:color="auto"/>
            <w:right w:val="none" w:sz="0" w:space="0" w:color="auto"/>
          </w:divBdr>
          <w:divsChild>
            <w:div w:id="1662007029">
              <w:marLeft w:val="0"/>
              <w:marRight w:val="0"/>
              <w:marTop w:val="0"/>
              <w:marBottom w:val="0"/>
              <w:divBdr>
                <w:top w:val="none" w:sz="0" w:space="0" w:color="auto"/>
                <w:left w:val="none" w:sz="0" w:space="0" w:color="auto"/>
                <w:bottom w:val="none" w:sz="0" w:space="0" w:color="auto"/>
                <w:right w:val="none" w:sz="0" w:space="0" w:color="auto"/>
              </w:divBdr>
              <w:divsChild>
                <w:div w:id="763037946">
                  <w:marLeft w:val="0"/>
                  <w:marRight w:val="0"/>
                  <w:marTop w:val="0"/>
                  <w:marBottom w:val="0"/>
                  <w:divBdr>
                    <w:top w:val="none" w:sz="0" w:space="0" w:color="auto"/>
                    <w:left w:val="none" w:sz="0" w:space="0" w:color="auto"/>
                    <w:bottom w:val="none" w:sz="0" w:space="0" w:color="auto"/>
                    <w:right w:val="none" w:sz="0" w:space="0" w:color="auto"/>
                  </w:divBdr>
                  <w:divsChild>
                    <w:div w:id="13149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yogi.suprayogi@unpad.ac.id" TargetMode="External"/><Relationship Id="rId4" Type="http://schemas.microsoft.com/office/2007/relationships/stylesWithEffects" Target="stylesWithEffects.xml"/><Relationship Id="rId9" Type="http://schemas.openxmlformats.org/officeDocument/2006/relationships/hyperlink" Target="mailto:suci18011@mail.unpad.ac.id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B3648-FE97-40E3-B56E-539A749B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6115</Words>
  <Characters>34856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2019-05-26T22:12:00Z</cp:lastPrinted>
  <dcterms:created xsi:type="dcterms:W3CDTF">2019-05-26T22:11:00Z</dcterms:created>
  <dcterms:modified xsi:type="dcterms:W3CDTF">2019-05-26T22:13:00Z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4a88fb8a-3058-3927-8a0a-6809b9e1ec59</vt:lpwstr>
  </property>
  <property fmtid="{D5CDD505-2E9C-101B-9397-08002B2CF9AE}" pid="24" name="Mendeley Citation Style_1">
    <vt:lpwstr>http://www.zotero.org/styles/apa</vt:lpwstr>
  </property>
</Properties>
</file>